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2"/>
        <w:spacing w:before="100" w:line="4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3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  <w:position w:val="1"/>
        </w:rPr>
        <w:t>4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1455"/>
        <w:spacing w:before="184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园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林工程钱江杯考核认定条件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597"/>
        <w:spacing w:before="101" w:line="50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4"/>
        </w:rPr>
        <w:t>一、总体要求</w:t>
      </w:r>
    </w:p>
    <w:p>
      <w:pPr>
        <w:ind w:right="70" w:firstLine="708"/>
        <w:spacing w:before="15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申报项目应位于本省行政范围内，符合基本建设</w:t>
      </w:r>
      <w:r>
        <w:rPr>
          <w:rFonts w:ascii="FangSong" w:hAnsi="FangSong" w:eastAsia="FangSong" w:cs="FangSong"/>
          <w:sz w:val="31"/>
          <w:szCs w:val="31"/>
        </w:rPr>
        <w:t>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序</w:t>
      </w:r>
      <w:r>
        <w:rPr>
          <w:rFonts w:ascii="FangSong" w:hAnsi="FangSong" w:eastAsia="FangSong" w:cs="FangSong"/>
          <w:sz w:val="31"/>
          <w:szCs w:val="31"/>
          <w:spacing w:val="8"/>
        </w:rPr>
        <w:t>、手续齐备，满足相关标准规范等强制性要求。</w:t>
      </w:r>
    </w:p>
    <w:p>
      <w:pPr>
        <w:ind w:left="2" w:right="70" w:firstLine="706"/>
        <w:spacing w:before="6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(二)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居住区、单位和道路等附属绿地项目绿地面积占</w:t>
      </w:r>
      <w:r>
        <w:rPr>
          <w:rFonts w:ascii="FangSong" w:hAnsi="FangSong" w:eastAsia="FangSong" w:cs="FangSong"/>
          <w:sz w:val="31"/>
          <w:szCs w:val="31"/>
          <w:spacing w:val="10"/>
        </w:rPr>
        <w:t>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目</w:t>
      </w:r>
      <w:r>
        <w:rPr>
          <w:rFonts w:ascii="FangSong" w:hAnsi="FangSong" w:eastAsia="FangSong" w:cs="FangSong"/>
          <w:sz w:val="31"/>
          <w:szCs w:val="31"/>
          <w:spacing w:val="8"/>
        </w:rPr>
        <w:t>总面积比例应满足《城市绿化规划建设指标的规定》等相关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要求，其中新建居住区绿地率不低于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30%</w:t>
      </w:r>
      <w:r>
        <w:rPr>
          <w:rFonts w:ascii="FangSong" w:hAnsi="FangSong" w:eastAsia="FangSong" w:cs="FangSong"/>
          <w:sz w:val="31"/>
          <w:szCs w:val="31"/>
          <w:spacing w:val="4"/>
        </w:rPr>
        <w:t>；公园绿地中绿化</w:t>
      </w:r>
      <w:r>
        <w:rPr>
          <w:rFonts w:ascii="FangSong" w:hAnsi="FangSong" w:eastAsia="FangSong" w:cs="FangSong"/>
          <w:sz w:val="31"/>
          <w:szCs w:val="31"/>
          <w:spacing w:val="2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地</w:t>
      </w:r>
      <w:r>
        <w:rPr>
          <w:rFonts w:ascii="FangSong" w:hAnsi="FangSong" w:eastAsia="FangSong" w:cs="FangSong"/>
          <w:sz w:val="31"/>
          <w:szCs w:val="31"/>
          <w:spacing w:val="8"/>
        </w:rPr>
        <w:t>占陆地面积的比例应满足《公园设计规范》要求，最低不少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于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65%</w:t>
      </w:r>
      <w:r>
        <w:rPr>
          <w:rFonts w:ascii="FangSong" w:hAnsi="FangSong" w:eastAsia="FangSong" w:cs="FangSong"/>
          <w:sz w:val="31"/>
          <w:szCs w:val="31"/>
          <w:spacing w:val="-12"/>
        </w:rPr>
        <w:t>。</w:t>
      </w:r>
    </w:p>
    <w:p>
      <w:pPr>
        <w:ind w:left="597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2"/>
        </w:rPr>
        <w:t>二、整体效果</w:t>
      </w:r>
    </w:p>
    <w:p>
      <w:pPr>
        <w:ind w:firstLine="645"/>
        <w:spacing w:before="25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申报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FangSong" w:hAnsi="FangSong" w:eastAsia="FangSong" w:cs="FangSong"/>
          <w:sz w:val="31"/>
          <w:szCs w:val="31"/>
          <w:spacing w:val="7"/>
        </w:rPr>
        <w:t>目整体效果应达到质量优良，景观优美，设计理念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先</w:t>
      </w:r>
      <w:r>
        <w:rPr>
          <w:rFonts w:ascii="FangSong" w:hAnsi="FangSong" w:eastAsia="FangSong" w:cs="FangSong"/>
          <w:sz w:val="31"/>
          <w:szCs w:val="31"/>
          <w:spacing w:val="8"/>
        </w:rPr>
        <w:t>进，主题特色鲜明，地形处置合理，施工工艺精良，构建以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植</w:t>
      </w:r>
      <w:r>
        <w:rPr>
          <w:rFonts w:ascii="FangSong" w:hAnsi="FangSong" w:eastAsia="FangSong" w:cs="FangSong"/>
          <w:sz w:val="31"/>
          <w:szCs w:val="31"/>
          <w:spacing w:val="8"/>
        </w:rPr>
        <w:t>物造景为主的复层群落式和局部开敞相结合的园林绿地，单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位</w:t>
      </w:r>
      <w:r>
        <w:rPr>
          <w:rFonts w:ascii="FangSong" w:hAnsi="FangSong" w:eastAsia="FangSong" w:cs="FangSong"/>
          <w:sz w:val="31"/>
          <w:szCs w:val="31"/>
          <w:spacing w:val="8"/>
        </w:rPr>
        <w:t>绿量较高，注重植物的群体美和林冠线的节奏变化，整体效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果良好，在当地有一定的代表性、行业领先度</w:t>
      </w:r>
      <w:r>
        <w:rPr>
          <w:rFonts w:ascii="FangSong" w:hAnsi="FangSong" w:eastAsia="FangSong" w:cs="FangSong"/>
          <w:sz w:val="31"/>
          <w:szCs w:val="31"/>
        </w:rPr>
        <w:t>和示范推广价值。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乔灌木种植面积一般不低于绿地面积的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70%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5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(一)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注重适地适树，体现植物生态适应性。</w:t>
      </w:r>
      <w:r>
        <w:rPr>
          <w:rFonts w:ascii="FangSong" w:hAnsi="FangSong" w:eastAsia="FangSong" w:cs="FangSong"/>
          <w:sz w:val="31"/>
          <w:szCs w:val="31"/>
          <w:spacing w:val="13"/>
        </w:rPr>
        <w:t>按照因地</w:t>
      </w:r>
      <w:r>
        <w:rPr>
          <w:rFonts w:ascii="FangSong" w:hAnsi="FangSong" w:eastAsia="FangSong" w:cs="FangSong"/>
          <w:sz w:val="31"/>
          <w:szCs w:val="31"/>
          <w:spacing w:val="10"/>
        </w:rPr>
        <w:t>制</w:t>
      </w:r>
    </w:p>
    <w:p>
      <w:pPr>
        <w:sectPr>
          <w:footerReference w:type="default" r:id="rId1"/>
          <w:pgSz w:w="11907" w:h="16839"/>
          <w:pgMar w:top="1431" w:right="1579" w:bottom="1419" w:left="1666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7" w:firstLine="5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宜、适地适树和生物多样性原则，尊重自然规律，注重地方</w:t>
      </w:r>
      <w:r>
        <w:rPr>
          <w:rFonts w:ascii="FangSong" w:hAnsi="FangSong" w:eastAsia="FangSong" w:cs="FangSong"/>
          <w:sz w:val="31"/>
          <w:szCs w:val="31"/>
          <w:spacing w:val="5"/>
        </w:rPr>
        <w:t>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色</w:t>
      </w:r>
      <w:r>
        <w:rPr>
          <w:rFonts w:ascii="FangSong" w:hAnsi="FangSong" w:eastAsia="FangSong" w:cs="FangSong"/>
          <w:sz w:val="31"/>
          <w:szCs w:val="31"/>
          <w:spacing w:val="8"/>
        </w:rPr>
        <w:t>，根据不同绿地的功能侧重，做好树种选择，优先使用成本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低</w:t>
      </w:r>
      <w:r>
        <w:rPr>
          <w:rFonts w:ascii="FangSong" w:hAnsi="FangSong" w:eastAsia="FangSong" w:cs="FangSong"/>
          <w:sz w:val="31"/>
          <w:szCs w:val="31"/>
          <w:spacing w:val="8"/>
        </w:rPr>
        <w:t>、适应性强、本地特色鲜明的乡土树种；倡导选择树体高大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乔木树种、树冠优美的彩色树种、适应广泛的乡土树种、彰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显</w:t>
      </w:r>
      <w:r>
        <w:rPr>
          <w:rFonts w:ascii="FangSong" w:hAnsi="FangSong" w:eastAsia="FangSong" w:cs="FangSong"/>
          <w:sz w:val="31"/>
          <w:szCs w:val="31"/>
          <w:spacing w:val="8"/>
        </w:rPr>
        <w:t>文化的特色树种，并在引种成功的基础上积极应用有较高观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赏价值的</w:t>
      </w:r>
      <w:r>
        <w:rPr>
          <w:rFonts w:ascii="FangSong" w:hAnsi="FangSong" w:eastAsia="FangSong" w:cs="FangSong"/>
          <w:sz w:val="31"/>
          <w:szCs w:val="31"/>
          <w:spacing w:val="2"/>
        </w:rPr>
        <w:t>植物新品种。严格控制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边缘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树种和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名贵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植物用量。</w:t>
      </w:r>
    </w:p>
    <w:p>
      <w:pPr>
        <w:ind w:left="9" w:right="61" w:firstLine="655"/>
        <w:spacing w:before="2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(二)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注重良种壮苗，确保苗木基本质量。</w:t>
      </w:r>
      <w:r>
        <w:rPr>
          <w:rFonts w:ascii="FangSong" w:hAnsi="FangSong" w:eastAsia="FangSong" w:cs="FangSong"/>
          <w:sz w:val="31"/>
          <w:szCs w:val="31"/>
          <w:spacing w:val="2"/>
        </w:rPr>
        <w:t>选择树冠优美、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生长健壮、无病虫害、根系完整的苗木，鼓励种全冠苗和容器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苗。提倡乔木全冠大苗化，冠形匀称，做到近期效果和远期效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果相结合。不存在引种不当、违法移植大树古树、非全冠栽植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</w:t>
      </w:r>
      <w:r>
        <w:rPr>
          <w:rFonts w:ascii="FangSong" w:hAnsi="FangSong" w:eastAsia="FangSong" w:cs="FangSong"/>
          <w:sz w:val="31"/>
          <w:szCs w:val="31"/>
          <w:spacing w:val="6"/>
        </w:rPr>
        <w:t>大树和截干栽植等现象。</w:t>
      </w:r>
    </w:p>
    <w:p>
      <w:pPr>
        <w:ind w:left="6" w:right="89" w:firstLine="658"/>
        <w:spacing w:before="6" w:line="39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(三)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注重适时适土，确保植物健康生长。</w:t>
      </w:r>
      <w:r>
        <w:rPr>
          <w:rFonts w:ascii="FangSong" w:hAnsi="FangSong" w:eastAsia="FangSong" w:cs="FangSong"/>
          <w:sz w:val="31"/>
          <w:szCs w:val="31"/>
          <w:spacing w:val="13"/>
        </w:rPr>
        <w:t>不提倡在非</w:t>
      </w:r>
      <w:r>
        <w:rPr>
          <w:rFonts w:ascii="FangSong" w:hAnsi="FangSong" w:eastAsia="FangSong" w:cs="FangSong"/>
          <w:sz w:val="31"/>
          <w:szCs w:val="31"/>
          <w:spacing w:val="10"/>
        </w:rPr>
        <w:t>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植</w:t>
      </w:r>
      <w:r>
        <w:rPr>
          <w:rFonts w:ascii="FangSong" w:hAnsi="FangSong" w:eastAsia="FangSong" w:cs="FangSong"/>
          <w:sz w:val="31"/>
          <w:szCs w:val="31"/>
          <w:spacing w:val="8"/>
        </w:rPr>
        <w:t>季节栽植。按照有关要求，满足地下种植空间，并保证土壤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质</w:t>
      </w:r>
      <w:r>
        <w:rPr>
          <w:rFonts w:ascii="FangSong" w:hAnsi="FangSong" w:eastAsia="FangSong" w:cs="FangSong"/>
          <w:sz w:val="31"/>
          <w:szCs w:val="31"/>
          <w:spacing w:val="8"/>
        </w:rPr>
        <w:t>量。对种植土进行土壤理化分析，对不符合要求的土壤，必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须</w:t>
      </w:r>
      <w:r>
        <w:rPr>
          <w:rFonts w:ascii="FangSong" w:hAnsi="FangSong" w:eastAsia="FangSong" w:cs="FangSong"/>
          <w:sz w:val="31"/>
          <w:szCs w:val="31"/>
          <w:spacing w:val="8"/>
        </w:rPr>
        <w:t>经过改良或用客土置换。不存在种植穴内的沙石、水泥、石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灰</w:t>
      </w:r>
      <w:r>
        <w:rPr>
          <w:rFonts w:ascii="FangSong" w:hAnsi="FangSong" w:eastAsia="FangSong" w:cs="FangSong"/>
          <w:sz w:val="31"/>
          <w:szCs w:val="31"/>
          <w:spacing w:val="13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建筑垃圾和工程渣土未清理、土壤碱化硬化等情况。</w:t>
      </w:r>
    </w:p>
    <w:p>
      <w:pPr>
        <w:ind w:left="12" w:right="89" w:firstLine="652"/>
        <w:spacing w:before="2" w:line="39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(四)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注重科学配置，提倡乔灌草近自然种植。</w:t>
      </w:r>
      <w:r>
        <w:rPr>
          <w:rFonts w:ascii="FangSong" w:hAnsi="FangSong" w:eastAsia="FangSong" w:cs="FangSong"/>
          <w:sz w:val="31"/>
          <w:szCs w:val="31"/>
          <w:spacing w:val="13"/>
        </w:rPr>
        <w:t>根据不</w:t>
      </w:r>
      <w:r>
        <w:rPr>
          <w:rFonts w:ascii="FangSong" w:hAnsi="FangSong" w:eastAsia="FangSong" w:cs="FangSong"/>
          <w:sz w:val="31"/>
          <w:szCs w:val="31"/>
          <w:spacing w:val="10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的自然条件和人文历史，注重绿地生态和植物多样性，构建</w:t>
      </w:r>
      <w:r>
        <w:rPr>
          <w:rFonts w:ascii="FangSong" w:hAnsi="FangSong" w:eastAsia="FangSong" w:cs="FangSong"/>
          <w:sz w:val="31"/>
          <w:szCs w:val="31"/>
          <w:spacing w:val="5"/>
        </w:rPr>
        <w:t>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乔木为主，乔、灌、藤、花、草合理配置，速生与慢生、常</w:t>
      </w:r>
      <w:r>
        <w:rPr>
          <w:rFonts w:ascii="FangSong" w:hAnsi="FangSong" w:eastAsia="FangSong" w:cs="FangSong"/>
          <w:sz w:val="31"/>
          <w:szCs w:val="31"/>
          <w:spacing w:val="5"/>
        </w:rPr>
        <w:t>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与落叶科学合理搭配，彩叶树木、四季花灌木、宿根多年生</w:t>
      </w:r>
      <w:r>
        <w:rPr>
          <w:rFonts w:ascii="FangSong" w:hAnsi="FangSong" w:eastAsia="FangSong" w:cs="FangSong"/>
          <w:sz w:val="31"/>
          <w:szCs w:val="31"/>
          <w:spacing w:val="5"/>
        </w:rPr>
        <w:t>自</w:t>
      </w:r>
    </w:p>
    <w:p>
      <w:pPr>
        <w:sectPr>
          <w:footerReference w:type="default" r:id="rId2"/>
          <w:pgSz w:w="11907" w:h="16839"/>
          <w:pgMar w:top="1431" w:right="1560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right="47" w:firstLine="2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衍花卉等观赏植物相结合的复合式立体绿化体系，以不同植物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季相变化营造出丰富多彩的景观效果，促进绿化生态功能与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观</w:t>
      </w:r>
      <w:r>
        <w:rPr>
          <w:rFonts w:ascii="FangSong" w:hAnsi="FangSong" w:eastAsia="FangSong" w:cs="FangSong"/>
          <w:sz w:val="31"/>
          <w:szCs w:val="31"/>
          <w:spacing w:val="8"/>
        </w:rPr>
        <w:t>赏功能的和谐统一，体现人工植物群落的艺术美感。不存在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种植搭配不合理、栽植间距过密等现象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right="43" w:firstLine="657"/>
        <w:spacing w:before="3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(五)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注重安全适用，打造和谐的硬质景观。</w:t>
      </w:r>
      <w:r>
        <w:rPr>
          <w:rFonts w:ascii="FangSong" w:hAnsi="FangSong" w:eastAsia="FangSong" w:cs="FangSong"/>
          <w:sz w:val="31"/>
          <w:szCs w:val="31"/>
          <w:spacing w:val="13"/>
        </w:rPr>
        <w:t>无明显的</w:t>
      </w:r>
      <w:r>
        <w:rPr>
          <w:rFonts w:ascii="FangSong" w:hAnsi="FangSong" w:eastAsia="FangSong" w:cs="FangSong"/>
          <w:sz w:val="31"/>
          <w:szCs w:val="31"/>
          <w:spacing w:val="10"/>
        </w:rPr>
        <w:t>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全</w:t>
      </w:r>
      <w:r>
        <w:rPr>
          <w:rFonts w:ascii="FangSong" w:hAnsi="FangSong" w:eastAsia="FangSong" w:cs="FangSong"/>
          <w:sz w:val="31"/>
          <w:szCs w:val="31"/>
          <w:spacing w:val="8"/>
        </w:rPr>
        <w:t>隐患，建筑选址合理、结构安全，水、电、气、暖等设施设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置</w:t>
      </w:r>
      <w:r>
        <w:rPr>
          <w:rFonts w:ascii="FangSong" w:hAnsi="FangSong" w:eastAsia="FangSong" w:cs="FangSong"/>
          <w:sz w:val="31"/>
          <w:szCs w:val="31"/>
          <w:spacing w:val="8"/>
        </w:rPr>
        <w:t>合理。建筑、小品、园路、园桥、假山置石等硬质景观工程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8"/>
        </w:rPr>
        <w:t>风格、体量、色彩等满足项目整体要求，并与周边环境相协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调</w:t>
      </w:r>
      <w:r>
        <w:rPr>
          <w:rFonts w:ascii="FangSong" w:hAnsi="FangSong" w:eastAsia="FangSong" w:cs="FangSong"/>
          <w:sz w:val="31"/>
          <w:szCs w:val="31"/>
          <w:spacing w:val="8"/>
        </w:rPr>
        <w:t>，遵循因地制宜、经济实用、安全美观等工程建设原则，达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到</w:t>
      </w:r>
      <w:r>
        <w:rPr>
          <w:rFonts w:ascii="FangSong" w:hAnsi="FangSong" w:eastAsia="FangSong" w:cs="FangSong"/>
          <w:sz w:val="31"/>
          <w:szCs w:val="31"/>
          <w:spacing w:val="8"/>
        </w:rPr>
        <w:t>功能性与艺术性的和谐统一。假山置石的体量、形式和高度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</w:t>
      </w:r>
      <w:r>
        <w:rPr>
          <w:rFonts w:ascii="FangSong" w:hAnsi="FangSong" w:eastAsia="FangSong" w:cs="FangSong"/>
          <w:sz w:val="31"/>
          <w:szCs w:val="31"/>
          <w:spacing w:val="8"/>
        </w:rPr>
        <w:t>与周围环境协调，宜前低后高，错落有致；石料的大小、色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彩</w:t>
      </w:r>
      <w:r>
        <w:rPr>
          <w:rFonts w:ascii="FangSong" w:hAnsi="FangSong" w:eastAsia="FangSong" w:cs="FangSong"/>
          <w:sz w:val="31"/>
          <w:szCs w:val="31"/>
          <w:spacing w:val="-4"/>
        </w:rPr>
        <w:t>、</w:t>
      </w:r>
      <w:r>
        <w:rPr>
          <w:rFonts w:ascii="FangSong" w:hAnsi="FangSong" w:eastAsia="FangSong" w:cs="FangSong"/>
          <w:sz w:val="31"/>
          <w:szCs w:val="31"/>
          <w:spacing w:val="-3"/>
        </w:rPr>
        <w:t>质地、纹理、形状等应符合相关要求。雕塑小品应少而精，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避</w:t>
      </w:r>
      <w:r>
        <w:rPr>
          <w:rFonts w:ascii="FangSong" w:hAnsi="FangSong" w:eastAsia="FangSong" w:cs="FangSong"/>
          <w:sz w:val="31"/>
          <w:szCs w:val="31"/>
          <w:spacing w:val="6"/>
        </w:rPr>
        <w:t>免</w:t>
      </w:r>
      <w:r>
        <w:rPr>
          <w:rFonts w:ascii="FangSong" w:hAnsi="FangSong" w:eastAsia="FangSong" w:cs="FangSong"/>
          <w:sz w:val="31"/>
          <w:szCs w:val="31"/>
          <w:spacing w:val="5"/>
        </w:rPr>
        <w:t>滥用堆山置石。</w:t>
      </w:r>
    </w:p>
    <w:p>
      <w:pPr>
        <w:ind w:firstLine="658"/>
        <w:spacing w:before="9" w:line="3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(六)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注重随形就势，营造自然的空间和水景。</w:t>
      </w:r>
      <w:r>
        <w:rPr>
          <w:rFonts w:ascii="FangSong" w:hAnsi="FangSong" w:eastAsia="FangSong" w:cs="FangSong"/>
          <w:sz w:val="31"/>
          <w:szCs w:val="31"/>
          <w:spacing w:val="13"/>
        </w:rPr>
        <w:t>按照利</w:t>
      </w:r>
      <w:r>
        <w:rPr>
          <w:rFonts w:ascii="FangSong" w:hAnsi="FangSong" w:eastAsia="FangSong" w:cs="FangSong"/>
          <w:sz w:val="31"/>
          <w:szCs w:val="31"/>
          <w:spacing w:val="10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原地形为主、改造为辅的原则，避</w:t>
      </w:r>
      <w:r>
        <w:rPr>
          <w:rFonts w:ascii="FangSong" w:hAnsi="FangSong" w:eastAsia="FangSong" w:cs="FangSong"/>
          <w:sz w:val="31"/>
          <w:szCs w:val="31"/>
          <w:spacing w:val="-1"/>
        </w:rPr>
        <w:t>免对原有地形地貌大改大建，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理控制开敞空间尺度，避免盲目追求大广场、大草坪和大色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块</w:t>
      </w:r>
      <w:r>
        <w:rPr>
          <w:rFonts w:ascii="FangSong" w:hAnsi="FangSong" w:eastAsia="FangSong" w:cs="FangSong"/>
          <w:sz w:val="31"/>
          <w:szCs w:val="31"/>
          <w:spacing w:val="8"/>
        </w:rPr>
        <w:t>等，合理保护、利用原有场地树木。竖向设计要统筹考虑景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观</w:t>
      </w:r>
      <w:r>
        <w:rPr>
          <w:rFonts w:ascii="FangSong" w:hAnsi="FangSong" w:eastAsia="FangSong" w:cs="FangSong"/>
          <w:sz w:val="31"/>
          <w:szCs w:val="31"/>
          <w:spacing w:val="8"/>
        </w:rPr>
        <w:t>营造、径流控制、坡度安全等，海绵功能不应简单等同于下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凹式绿地</w:t>
      </w:r>
      <w:r>
        <w:rPr>
          <w:rFonts w:ascii="FangSong" w:hAnsi="FangSong" w:eastAsia="FangSong" w:cs="FangSong"/>
          <w:sz w:val="31"/>
          <w:szCs w:val="31"/>
          <w:spacing w:val="2"/>
        </w:rPr>
        <w:t>和雨水花园。人工水景因地制宜，体量得当。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自然式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水</w:t>
      </w:r>
      <w:r>
        <w:rPr>
          <w:rFonts w:ascii="FangSong" w:hAnsi="FangSong" w:eastAsia="FangSong" w:cs="FangSong"/>
          <w:sz w:val="31"/>
          <w:szCs w:val="31"/>
          <w:spacing w:val="8"/>
        </w:rPr>
        <w:t>景的岸线、驳岸应与周围环境特点灵活结合，水体宜与外围</w:t>
      </w:r>
    </w:p>
    <w:p>
      <w:pPr>
        <w:sectPr>
          <w:footerReference w:type="default" r:id="rId3"/>
          <w:pgSz w:w="11907" w:h="16839"/>
          <w:pgMar w:top="1431" w:right="1602" w:bottom="1419" w:left="1666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9" w:firstLine="6"/>
        <w:spacing w:before="101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河湖自然水系相通，呈流动状态。水体岸线应采用生态化设</w:t>
      </w:r>
      <w:r>
        <w:rPr>
          <w:rFonts w:ascii="FangSong" w:hAnsi="FangSong" w:eastAsia="FangSong" w:cs="FangSong"/>
          <w:sz w:val="31"/>
          <w:szCs w:val="31"/>
          <w:spacing w:val="-1"/>
        </w:rPr>
        <w:t>计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严</w:t>
      </w:r>
      <w:r>
        <w:rPr>
          <w:rFonts w:ascii="FangSong" w:hAnsi="FangSong" w:eastAsia="FangSong" w:cs="FangSong"/>
          <w:sz w:val="31"/>
          <w:szCs w:val="31"/>
          <w:spacing w:val="7"/>
        </w:rPr>
        <w:t>格控制硬质驳岸、硬化衬底。</w:t>
      </w:r>
    </w:p>
    <w:p>
      <w:pPr>
        <w:ind w:left="7" w:firstLine="657"/>
        <w:spacing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(七)</w:t>
      </w:r>
      <w:r>
        <w:rPr>
          <w:rFonts w:ascii="KaiTi" w:hAnsi="KaiTi" w:eastAsia="KaiTi" w:cs="KaiTi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注重功能融合，实现效益最大化。</w:t>
      </w:r>
      <w:r>
        <w:rPr>
          <w:rFonts w:ascii="FangSong" w:hAnsi="FangSong" w:eastAsia="FangSong" w:cs="FangSong"/>
          <w:sz w:val="31"/>
          <w:szCs w:val="31"/>
          <w:spacing w:val="13"/>
        </w:rPr>
        <w:t>无较大的功能</w:t>
      </w:r>
      <w:r>
        <w:rPr>
          <w:rFonts w:ascii="FangSong" w:hAnsi="FangSong" w:eastAsia="FangSong" w:cs="FangSong"/>
          <w:sz w:val="31"/>
          <w:szCs w:val="31"/>
          <w:spacing w:val="10"/>
        </w:rPr>
        <w:t>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陷</w:t>
      </w:r>
      <w:r>
        <w:rPr>
          <w:rFonts w:ascii="FangSong" w:hAnsi="FangSong" w:eastAsia="FangSong" w:cs="FangSong"/>
          <w:sz w:val="31"/>
          <w:szCs w:val="31"/>
          <w:spacing w:val="8"/>
        </w:rPr>
        <w:t>，符合游人的行为规律，满足休憩、游览、科普及户外活动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等需要。展现人文之美，充分体现浙江地域特色和文化传承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具有一定的创新性，适应当代生产生活需要，反映时代气息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积极应用园林特色的新技术、新工艺</w:t>
      </w:r>
      <w:r>
        <w:rPr>
          <w:rFonts w:ascii="FangSong" w:hAnsi="FangSong" w:eastAsia="FangSong" w:cs="FangSong"/>
          <w:sz w:val="31"/>
          <w:szCs w:val="31"/>
          <w:spacing w:val="-1"/>
        </w:rPr>
        <w:t>、新材料。注重生态低碳，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优先使用节能环保和当地材料。倡导</w:t>
      </w:r>
      <w:r>
        <w:rPr>
          <w:rFonts w:ascii="FangSong" w:hAnsi="FangSong" w:eastAsia="FangSong" w:cs="FangSong"/>
          <w:sz w:val="31"/>
          <w:szCs w:val="31"/>
          <w:spacing w:val="-1"/>
        </w:rPr>
        <w:t>利用自然水源、循环水源，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宜</w:t>
      </w:r>
      <w:r>
        <w:rPr>
          <w:rFonts w:ascii="FangSong" w:hAnsi="FangSong" w:eastAsia="FangSong" w:cs="FangSong"/>
          <w:sz w:val="31"/>
          <w:szCs w:val="31"/>
          <w:spacing w:val="8"/>
        </w:rPr>
        <w:t>具备园林有机废弃物的处理设施，有序利用植物资源。不存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在片</w:t>
      </w:r>
      <w:r>
        <w:rPr>
          <w:rFonts w:ascii="FangSong" w:hAnsi="FangSong" w:eastAsia="FangSong" w:cs="FangSong"/>
          <w:sz w:val="31"/>
          <w:szCs w:val="31"/>
          <w:spacing w:val="9"/>
        </w:rPr>
        <w:t>面</w:t>
      </w:r>
      <w:r>
        <w:rPr>
          <w:rFonts w:ascii="FangSong" w:hAnsi="FangSong" w:eastAsia="FangSong" w:cs="FangSong"/>
          <w:sz w:val="31"/>
          <w:szCs w:val="31"/>
          <w:spacing w:val="7"/>
        </w:rPr>
        <w:t>追求用材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高大上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和室外环境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室内化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等现象。</w:t>
      </w:r>
    </w:p>
    <w:p>
      <w:pPr>
        <w:ind w:left="648"/>
        <w:spacing w:line="23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三、材料要</w:t>
      </w:r>
      <w:r>
        <w:rPr>
          <w:rFonts w:ascii="SimHei" w:hAnsi="SimHei" w:eastAsia="SimHei" w:cs="SimHei"/>
          <w:sz w:val="31"/>
          <w:szCs w:val="31"/>
          <w:spacing w:val="4"/>
        </w:rPr>
        <w:t>求</w:t>
      </w:r>
    </w:p>
    <w:p>
      <w:pPr>
        <w:ind w:left="651"/>
        <w:spacing w:before="26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申报材</w:t>
      </w:r>
      <w:r>
        <w:rPr>
          <w:rFonts w:ascii="FangSong" w:hAnsi="FangSong" w:eastAsia="FangSong" w:cs="FangSong"/>
          <w:sz w:val="31"/>
          <w:szCs w:val="31"/>
          <w:spacing w:val="6"/>
        </w:rPr>
        <w:t>料除符合本通知基本要求外，还需满足如下要求。</w:t>
      </w:r>
    </w:p>
    <w:p>
      <w:pPr>
        <w:ind w:left="665"/>
        <w:spacing w:before="28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(一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)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项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目情况说明材料</w:t>
      </w:r>
    </w:p>
    <w:p>
      <w:pPr>
        <w:ind w:left="6" w:right="33" w:firstLine="655"/>
        <w:spacing w:before="277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1.</w:t>
      </w:r>
      <w:r>
        <w:rPr>
          <w:rFonts w:ascii="FangSong" w:hAnsi="FangSong" w:eastAsia="FangSong" w:cs="FangSong"/>
          <w:sz w:val="31"/>
          <w:szCs w:val="31"/>
          <w:spacing w:val="-2"/>
        </w:rPr>
        <w:t>项目说明书、</w:t>
      </w:r>
      <w:r>
        <w:rPr>
          <w:rFonts w:ascii="FangSong" w:hAnsi="FangSong" w:eastAsia="FangSong" w:cs="FangSong"/>
          <w:sz w:val="31"/>
          <w:szCs w:val="31"/>
          <w:spacing w:val="-1"/>
        </w:rPr>
        <w:t>立项文件、规划许可证及附图、设计文本、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施</w:t>
      </w:r>
      <w:r>
        <w:rPr>
          <w:rFonts w:ascii="FangSong" w:hAnsi="FangSong" w:eastAsia="FangSong" w:cs="FangSong"/>
          <w:sz w:val="31"/>
          <w:szCs w:val="31"/>
          <w:spacing w:val="9"/>
        </w:rPr>
        <w:t>工</w:t>
      </w:r>
      <w:r>
        <w:rPr>
          <w:rFonts w:ascii="FangSong" w:hAnsi="FangSong" w:eastAsia="FangSong" w:cs="FangSong"/>
          <w:sz w:val="31"/>
          <w:szCs w:val="31"/>
          <w:spacing w:val="7"/>
        </w:rPr>
        <w:t>合同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(第一部分)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、竣工图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(主要是地形图、植物配置图</w:t>
      </w:r>
    </w:p>
    <w:p>
      <w:pPr>
        <w:ind w:left="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和建筑图)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、单位工程竣工验收记录等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12" w:right="47" w:firstLine="619"/>
        <w:spacing w:before="218" w:line="4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实景照片。不少于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张，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格式，未经加工处理，照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片像素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兆以上，其中全貌照片不少于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张，其它应有足</w:t>
      </w:r>
      <w:r>
        <w:rPr>
          <w:rFonts w:ascii="FangSong" w:hAnsi="FangSong" w:eastAsia="FangSong" w:cs="FangSong"/>
          <w:sz w:val="31"/>
          <w:szCs w:val="31"/>
        </w:rPr>
        <w:t>够数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量照片有效反映工程特色，并在每张照片下方标注工程名称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每张照片的位置和角度均需在平面图上标示，基本均匀覆盖</w:t>
      </w:r>
      <w:r>
        <w:rPr>
          <w:rFonts w:ascii="FangSong" w:hAnsi="FangSong" w:eastAsia="FangSong" w:cs="FangSong"/>
          <w:sz w:val="31"/>
          <w:szCs w:val="31"/>
          <w:spacing w:val="5"/>
        </w:rPr>
        <w:t>整</w:t>
      </w:r>
    </w:p>
    <w:p>
      <w:pPr>
        <w:sectPr>
          <w:footerReference w:type="default" r:id="rId4"/>
          <w:pgSz w:w="11907" w:h="16839"/>
          <w:pgMar w:top="1431" w:right="1602" w:bottom="1419" w:left="1659" w:header="0" w:footer="1252" w:gutter="0"/>
        </w:sectPr>
        <w:rPr/>
      </w:pPr>
    </w:p>
    <w:p>
      <w:pPr>
        <w:spacing w:line="331" w:lineRule="auto"/>
        <w:rPr>
          <w:rFonts w:ascii="Arial"/>
          <w:sz w:val="21"/>
        </w:rPr>
      </w:pPr>
      <w:r/>
    </w:p>
    <w:p>
      <w:pPr>
        <w:ind w:left="1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个工程，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</w:t>
      </w:r>
      <w:r>
        <w:rPr>
          <w:rFonts w:ascii="FangSong" w:hAnsi="FangSong" w:eastAsia="FangSong" w:cs="FangSong"/>
          <w:sz w:val="31"/>
          <w:szCs w:val="31"/>
          <w:spacing w:val="3"/>
        </w:rPr>
        <w:t>时</w:t>
      </w:r>
      <w:r>
        <w:rPr>
          <w:rFonts w:ascii="FangSong" w:hAnsi="FangSong" w:eastAsia="FangSong" w:cs="FangSong"/>
          <w:sz w:val="31"/>
          <w:szCs w:val="31"/>
          <w:spacing w:val="2"/>
        </w:rPr>
        <w:t>，拍摄视角要兼顾整体和局部、远景和近景。</w:t>
      </w:r>
    </w:p>
    <w:p>
      <w:pPr>
        <w:ind w:left="1" w:right="9" w:firstLine="629"/>
        <w:spacing w:before="280" w:line="39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</w:rPr>
        <w:t>影像资料。限时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分钟，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格式录像片，图像清晰、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解</w:t>
      </w:r>
      <w:r>
        <w:rPr>
          <w:rFonts w:ascii="FangSong" w:hAnsi="FangSong" w:eastAsia="FangSong" w:cs="FangSong"/>
          <w:sz w:val="31"/>
          <w:szCs w:val="31"/>
          <w:spacing w:val="8"/>
        </w:rPr>
        <w:t>说清楚。按照使用者和游人的正常行进视角进行拍摄，可结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照片和文字解说综合展示，线路和视角在平面图上标示，基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</w:t>
      </w:r>
      <w:r>
        <w:rPr>
          <w:rFonts w:ascii="FangSong" w:hAnsi="FangSong" w:eastAsia="FangSong" w:cs="FangSong"/>
          <w:sz w:val="31"/>
          <w:szCs w:val="31"/>
          <w:spacing w:val="8"/>
        </w:rPr>
        <w:t>均匀覆盖整个工程；结合场地展示施工特点和效果、施工关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键</w:t>
      </w:r>
      <w:r>
        <w:rPr>
          <w:rFonts w:ascii="FangSong" w:hAnsi="FangSong" w:eastAsia="FangSong" w:cs="FangSong"/>
          <w:sz w:val="31"/>
          <w:szCs w:val="31"/>
          <w:spacing w:val="8"/>
        </w:rPr>
        <w:t>技术、施工过程质量管控措施、新技术推广应用等情况，要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充</w:t>
      </w:r>
      <w:r>
        <w:rPr>
          <w:rFonts w:ascii="FangSong" w:hAnsi="FangSong" w:eastAsia="FangSong" w:cs="FangSong"/>
          <w:sz w:val="31"/>
          <w:szCs w:val="31"/>
          <w:spacing w:val="20"/>
        </w:rPr>
        <w:t>分反映重要部位及隐蔽工程的质量检验情况和程序验收情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拍摄器材不用特殊设备，能够反应客观真实情况即可。</w:t>
      </w:r>
    </w:p>
    <w:p>
      <w:pPr>
        <w:ind w:firstLine="657"/>
        <w:spacing w:before="3" w:line="40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14:textOutline w14:w="222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(二)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项目情况说明材料统一按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横版制作，装订成册，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同时报送纸质和电子材料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(需要盖章的，需同时提供盖章扫</w:t>
      </w:r>
      <w:r>
        <w:rPr>
          <w:rFonts w:ascii="FangSong" w:hAnsi="FangSong" w:eastAsia="FangSong" w:cs="FangSong"/>
          <w:sz w:val="31"/>
          <w:szCs w:val="31"/>
          <w:spacing w:val="2"/>
        </w:rPr>
        <w:t>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件和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word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版)。</w:t>
      </w:r>
    </w:p>
    <w:sectPr>
      <w:footerReference w:type="default" r:id="rId5"/>
      <w:pgSz w:w="11907" w:h="16839"/>
      <w:pgMar w:top="1431" w:right="1641" w:bottom="1419" w:left="1667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0"/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"/>
      </w:rPr>
      <w:t>—</w:t>
    </w:r>
    <w:r>
      <w:rPr>
        <w:rFonts w:ascii="Calibri" w:hAnsi="Calibri" w:eastAsia="Calibri" w:cs="Calibri"/>
        <w:sz w:val="18"/>
        <w:szCs w:val="18"/>
        <w:spacing w:val="-1"/>
      </w:rPr>
      <w:t xml:space="preserve">   </w:t>
    </w:r>
    <w:r>
      <w:rPr>
        <w:rFonts w:ascii="Calibri" w:hAnsi="Calibri" w:eastAsia="Calibri" w:cs="Calibri"/>
        <w:sz w:val="18"/>
        <w:szCs w:val="18"/>
        <w:spacing w:val="-1"/>
      </w:rPr>
      <w:t>19</w:t>
    </w:r>
    <w:r>
      <w:rPr>
        <w:rFonts w:ascii="Calibri" w:hAnsi="Calibri" w:eastAsia="Calibri" w:cs="Calibri"/>
        <w:sz w:val="18"/>
        <w:szCs w:val="18"/>
        <w:spacing w:val="-1"/>
      </w:rPr>
      <w:t xml:space="preserve"> </w:t>
    </w:r>
    <w:r>
      <w:rPr>
        <w:rFonts w:ascii="Calibri" w:hAnsi="Calibri" w:eastAsia="Calibri" w:cs="Calibri"/>
        <w:sz w:val="18"/>
        <w:szCs w:val="18"/>
      </w:rPr>
      <w:t xml:space="preserve"> </w:t>
    </w:r>
    <w:r>
      <w:rPr>
        <w:rFonts w:ascii="Calibri" w:hAnsi="Calibri" w:eastAsia="Calibri" w:cs="Calibri"/>
        <w:sz w:val="18"/>
        <w:szCs w:val="1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20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7"/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21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22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23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2023-04-14T16:13:00</vt:filetime>
  </op:property>
</op:Properties>
</file>