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06" w:lineRule="auto"/>
        <w:rPr>
          <w:rFonts w:ascii="Arial"/>
          <w:sz w:val="21"/>
        </w:rPr>
      </w:pPr>
      <w:r/>
    </w:p>
    <w:p>
      <w:pPr>
        <w:ind w:left="18"/>
        <w:spacing w:before="100" w:line="413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1"/>
          <w:position w:val="1"/>
        </w:rPr>
        <w:t>附</w:t>
      </w:r>
      <w:r>
        <w:rPr>
          <w:rFonts w:ascii="SimHei" w:hAnsi="SimHei" w:eastAsia="SimHei" w:cs="SimHei"/>
          <w:sz w:val="31"/>
          <w:szCs w:val="31"/>
          <w:spacing w:val="-20"/>
          <w:position w:val="1"/>
        </w:rPr>
        <w:t>件</w:t>
      </w:r>
      <w:r>
        <w:rPr>
          <w:rFonts w:ascii="SimHei" w:hAnsi="SimHei" w:eastAsia="SimHei" w:cs="SimHei"/>
          <w:sz w:val="31"/>
          <w:szCs w:val="31"/>
          <w:spacing w:val="-2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0"/>
          <w:position w:val="1"/>
        </w:rPr>
        <w:t>2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ind w:left="1630" w:right="1242" w:hanging="463"/>
        <w:spacing w:before="184" w:line="209" w:lineRule="auto"/>
        <w:tabs>
          <w:tab w:val="left" w:leader="empty" w:pos="1845"/>
        </w:tabs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  <w:spacing w:val="14"/>
        </w:rPr>
        <w:t>2</w:t>
      </w:r>
      <w:r>
        <w:rPr>
          <w:rFonts w:ascii="Times New Roman" w:hAnsi="Times New Roman" w:eastAsia="Times New Roman" w:cs="Times New Roman"/>
          <w:sz w:val="43"/>
          <w:szCs w:val="43"/>
          <w:spacing w:val="11"/>
        </w:rPr>
        <w:t>0</w:t>
      </w:r>
      <w:r>
        <w:rPr>
          <w:rFonts w:ascii="Times New Roman" w:hAnsi="Times New Roman" w:eastAsia="Times New Roman" w:cs="Times New Roman"/>
          <w:sz w:val="43"/>
          <w:szCs w:val="43"/>
          <w:spacing w:val="7"/>
        </w:rPr>
        <w:t>23</w:t>
      </w:r>
      <w:r>
        <w:rPr>
          <w:rFonts w:ascii="Times New Roman" w:hAnsi="Times New Roman" w:eastAsia="Times New Roman" w:cs="Times New Roman"/>
          <w:sz w:val="43"/>
          <w:szCs w:val="43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7"/>
        </w:rPr>
        <w:t>年度浙江省建设工程钱江杯</w:t>
      </w:r>
      <w:r>
        <w:rPr>
          <w:rFonts w:ascii="Microsoft YaHei" w:hAnsi="Microsoft YaHei" w:eastAsia="Microsoft YaHei" w:cs="Microsoft YaHei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</w:rPr>
        <w:tab/>
      </w:r>
      <w:r>
        <w:rPr>
          <w:rFonts w:ascii="Microsoft YaHei" w:hAnsi="Microsoft YaHei" w:eastAsia="Microsoft YaHei" w:cs="Microsoft YaHei"/>
          <w:sz w:val="43"/>
          <w:szCs w:val="43"/>
          <w:spacing w:val="35"/>
        </w:rPr>
        <w:t>(</w:t>
      </w:r>
      <w:r>
        <w:rPr>
          <w:rFonts w:ascii="Microsoft YaHei" w:hAnsi="Microsoft YaHei" w:eastAsia="Microsoft YaHei" w:cs="Microsoft YaHei"/>
          <w:sz w:val="43"/>
          <w:szCs w:val="43"/>
          <w:spacing w:val="28"/>
        </w:rPr>
        <w:t>优质工程)</w:t>
      </w:r>
      <w:r>
        <w:rPr>
          <w:rFonts w:ascii="Microsoft YaHei" w:hAnsi="Microsoft YaHei" w:eastAsia="Microsoft YaHei" w:cs="Microsoft YaHei"/>
          <w:sz w:val="43"/>
          <w:szCs w:val="43"/>
          <w:spacing w:val="28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28"/>
        </w:rPr>
        <w:t>考核认定细则</w:t>
      </w:r>
    </w:p>
    <w:p>
      <w:pPr>
        <w:spacing w:line="353" w:lineRule="auto"/>
        <w:rPr>
          <w:rFonts w:ascii="Arial"/>
          <w:sz w:val="21"/>
        </w:rPr>
      </w:pPr>
      <w:r/>
    </w:p>
    <w:p>
      <w:pPr>
        <w:spacing w:line="354" w:lineRule="auto"/>
        <w:rPr>
          <w:rFonts w:ascii="Arial"/>
          <w:sz w:val="21"/>
        </w:rPr>
      </w:pPr>
      <w:r/>
    </w:p>
    <w:p>
      <w:pPr>
        <w:ind w:left="6" w:right="51" w:firstLine="635"/>
        <w:spacing w:before="101"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6"/>
        </w:rPr>
        <w:t>一、</w:t>
      </w:r>
      <w:r>
        <w:rPr>
          <w:rFonts w:ascii="FangSong" w:hAnsi="FangSong" w:eastAsia="FangSong" w:cs="FangSong"/>
          <w:sz w:val="31"/>
          <w:szCs w:val="31"/>
          <w:spacing w:val="-6"/>
        </w:rPr>
        <w:t>参加浙江</w:t>
      </w:r>
      <w:r>
        <w:rPr>
          <w:rFonts w:ascii="FangSong" w:hAnsi="FangSong" w:eastAsia="FangSong" w:cs="FangSong"/>
          <w:sz w:val="31"/>
          <w:szCs w:val="31"/>
          <w:spacing w:val="-5"/>
        </w:rPr>
        <w:t>省</w:t>
      </w:r>
      <w:r>
        <w:rPr>
          <w:rFonts w:ascii="FangSong" w:hAnsi="FangSong" w:eastAsia="FangSong" w:cs="FangSong"/>
          <w:sz w:val="31"/>
          <w:szCs w:val="31"/>
          <w:spacing w:val="-3"/>
        </w:rPr>
        <w:t>建设工程钱江杯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(优质工程)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考核认定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(以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下简称钱江杯)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项目必须符合基本建设程序，各项审批手续</w:t>
      </w:r>
      <w:r>
        <w:rPr>
          <w:rFonts w:ascii="FangSong" w:hAnsi="FangSong" w:eastAsia="FangSong" w:cs="FangSong"/>
          <w:sz w:val="31"/>
          <w:szCs w:val="31"/>
          <w:spacing w:val="3"/>
        </w:rPr>
        <w:t>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全，且建成后具有</w:t>
      </w:r>
      <w:r>
        <w:rPr>
          <w:rFonts w:ascii="FangSong" w:hAnsi="FangSong" w:eastAsia="FangSong" w:cs="FangSong"/>
          <w:sz w:val="31"/>
          <w:szCs w:val="31"/>
          <w:spacing w:val="-2"/>
        </w:rPr>
        <w:t>独立使用功能，包括房屋建筑、市政、交通、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水</w:t>
      </w:r>
      <w:r>
        <w:rPr>
          <w:rFonts w:ascii="FangSong" w:hAnsi="FangSong" w:eastAsia="FangSong" w:cs="FangSong"/>
          <w:sz w:val="31"/>
          <w:szCs w:val="31"/>
          <w:spacing w:val="8"/>
        </w:rPr>
        <w:t>利、能源、园林、农村住房等工程建设项目。</w:t>
      </w:r>
    </w:p>
    <w:p>
      <w:pPr>
        <w:ind w:left="642"/>
        <w:spacing w:line="412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  <w:position w:val="2"/>
        </w:rPr>
        <w:t>二</w:t>
      </w:r>
      <w:r>
        <w:rPr>
          <w:rFonts w:ascii="SimHei" w:hAnsi="SimHei" w:eastAsia="SimHei" w:cs="SimHei"/>
          <w:sz w:val="31"/>
          <w:szCs w:val="31"/>
          <w:spacing w:val="8"/>
          <w:position w:val="2"/>
        </w:rPr>
        <w:t>、钱江杯考核认定项目必须符合以下条件：</w:t>
      </w:r>
    </w:p>
    <w:p>
      <w:pPr>
        <w:ind w:left="661"/>
        <w:spacing w:before="246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.</w:t>
      </w:r>
      <w:r>
        <w:rPr>
          <w:rFonts w:ascii="FangSong" w:hAnsi="FangSong" w:eastAsia="FangSong" w:cs="FangSong"/>
          <w:sz w:val="31"/>
          <w:szCs w:val="31"/>
          <w:spacing w:val="6"/>
        </w:rPr>
        <w:t>创优目标明确，质量管理体系健全。</w:t>
      </w:r>
    </w:p>
    <w:p>
      <w:pPr>
        <w:ind w:left="6" w:firstLine="625"/>
        <w:spacing w:before="293" w:line="39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4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19"/>
        </w:rPr>
        <w:t>.</w:t>
      </w:r>
      <w:r>
        <w:rPr>
          <w:rFonts w:ascii="FangSong" w:hAnsi="FangSong" w:eastAsia="FangSong" w:cs="FangSong"/>
          <w:sz w:val="31"/>
          <w:szCs w:val="31"/>
          <w:spacing w:val="12"/>
        </w:rPr>
        <w:t>严格落实工程质量、安全管理标准化要求，工程设计、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施</w:t>
      </w:r>
      <w:r>
        <w:rPr>
          <w:rFonts w:ascii="FangSong" w:hAnsi="FangSong" w:eastAsia="FangSong" w:cs="FangSong"/>
          <w:sz w:val="31"/>
          <w:szCs w:val="31"/>
          <w:spacing w:val="8"/>
        </w:rPr>
        <w:t>工工艺和技术措施先进合理，工程施工质量达到省内领先水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平</w:t>
      </w:r>
      <w:r>
        <w:rPr>
          <w:rFonts w:ascii="FangSong" w:hAnsi="FangSong" w:eastAsia="FangSong" w:cs="FangSong"/>
          <w:sz w:val="31"/>
          <w:szCs w:val="31"/>
          <w:spacing w:val="8"/>
        </w:rPr>
        <w:t>，无违反国家工程建设强制性标准。其中，房屋建筑和市政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9"/>
        </w:rPr>
        <w:t>基</w:t>
      </w:r>
      <w:r>
        <w:rPr>
          <w:rFonts w:ascii="FangSong" w:hAnsi="FangSong" w:eastAsia="FangSong" w:cs="FangSong"/>
          <w:sz w:val="31"/>
          <w:szCs w:val="31"/>
          <w:spacing w:val="20"/>
        </w:rPr>
        <w:t>础设施工程在建设过程中认真贯彻执行《工程质量安全手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册</w:t>
      </w:r>
      <w:r>
        <w:rPr>
          <w:rFonts w:ascii="FangSong" w:hAnsi="FangSong" w:eastAsia="FangSong" w:cs="FangSong"/>
          <w:sz w:val="31"/>
          <w:szCs w:val="31"/>
          <w:spacing w:val="17"/>
        </w:rPr>
        <w:t>》</w:t>
      </w:r>
      <w:r>
        <w:rPr>
          <w:rFonts w:ascii="FangSong" w:hAnsi="FangSong" w:eastAsia="FangSong" w:cs="FangSong"/>
          <w:sz w:val="31"/>
          <w:szCs w:val="31"/>
          <w:spacing w:val="11"/>
        </w:rPr>
        <w:t>，建设单位组织开展的工程施工质量评价应当达到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“</w:t>
      </w:r>
      <w:r>
        <w:rPr>
          <w:rFonts w:ascii="FangSong" w:hAnsi="FangSong" w:eastAsia="FangSong" w:cs="FangSong"/>
          <w:sz w:val="31"/>
          <w:szCs w:val="31"/>
          <w:spacing w:val="11"/>
        </w:rPr>
        <w:t>优良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”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标准，并获得</w:t>
      </w:r>
      <w:r>
        <w:rPr>
          <w:rFonts w:ascii="FangSong" w:hAnsi="FangSong" w:eastAsia="FangSong" w:cs="FangSong"/>
          <w:sz w:val="31"/>
          <w:szCs w:val="31"/>
          <w:spacing w:val="2"/>
        </w:rPr>
        <w:t>设区市最高质量奖；交通工程交工质量评分为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90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以</w:t>
      </w:r>
      <w:r>
        <w:rPr>
          <w:rFonts w:ascii="FangSong" w:hAnsi="FangSong" w:eastAsia="FangSong" w:cs="FangSong"/>
          <w:sz w:val="31"/>
          <w:szCs w:val="31"/>
          <w:spacing w:val="11"/>
        </w:rPr>
        <w:t>上</w:t>
      </w:r>
      <w:r>
        <w:rPr>
          <w:rFonts w:ascii="FangSong" w:hAnsi="FangSong" w:eastAsia="FangSong" w:cs="FangSong"/>
          <w:sz w:val="31"/>
          <w:szCs w:val="31"/>
          <w:spacing w:val="7"/>
        </w:rPr>
        <w:t>；水利工程质量评定达到优良。</w:t>
      </w:r>
    </w:p>
    <w:p>
      <w:pPr>
        <w:ind w:left="7" w:right="70" w:firstLine="630"/>
        <w:spacing w:before="1" w:line="40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工程项目已完成竣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(交、完)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工验收，房屋建筑和市政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基础</w:t>
      </w:r>
      <w:r>
        <w:rPr>
          <w:rFonts w:ascii="FangSong" w:hAnsi="FangSong" w:eastAsia="FangSong" w:cs="FangSong"/>
          <w:sz w:val="31"/>
          <w:szCs w:val="31"/>
          <w:spacing w:val="8"/>
        </w:rPr>
        <w:t>设</w:t>
      </w:r>
      <w:r>
        <w:rPr>
          <w:rFonts w:ascii="FangSong" w:hAnsi="FangSong" w:eastAsia="FangSong" w:cs="FangSong"/>
          <w:sz w:val="31"/>
          <w:szCs w:val="31"/>
          <w:spacing w:val="7"/>
        </w:rPr>
        <w:t>施工程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(不含轨道交通工程)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应完成竣工验收备案，经</w:t>
      </w:r>
    </w:p>
    <w:p>
      <w:pPr>
        <w:sectPr>
          <w:footerReference w:type="default" r:id="rId1"/>
          <w:pgSz w:w="11907" w:h="16839"/>
          <w:pgMar w:top="1431" w:right="1579" w:bottom="1419" w:left="1659" w:header="0" w:footer="1252" w:gutter="0"/>
        </w:sectPr>
        <w:rPr/>
      </w:pPr>
    </w:p>
    <w:p>
      <w:pPr>
        <w:spacing w:line="331" w:lineRule="auto"/>
        <w:rPr>
          <w:rFonts w:ascii="Arial"/>
          <w:sz w:val="21"/>
        </w:rPr>
      </w:pPr>
      <w:r/>
    </w:p>
    <w:p>
      <w:pPr>
        <w:ind w:left="3" w:firstLine="1"/>
        <w:spacing w:before="101"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4"/>
        </w:rPr>
        <w:t>过</w:t>
      </w:r>
      <w:r>
        <w:rPr>
          <w:rFonts w:ascii="FangSong" w:hAnsi="FangSong" w:eastAsia="FangSong" w:cs="FangSong"/>
          <w:sz w:val="31"/>
          <w:szCs w:val="31"/>
          <w:spacing w:val="20"/>
        </w:rPr>
        <w:t>使用未发现质量缺陷和质量隐患，且未擅自改变原设计用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途</w:t>
      </w:r>
      <w:r>
        <w:rPr>
          <w:rFonts w:ascii="FangSong" w:hAnsi="FangSong" w:eastAsia="FangSong" w:cs="FangSong"/>
          <w:sz w:val="31"/>
          <w:szCs w:val="31"/>
          <w:spacing w:val="8"/>
        </w:rPr>
        <w:t>，各项技术指标达到本专业省内先进水平。</w:t>
      </w:r>
    </w:p>
    <w:p>
      <w:pPr>
        <w:ind w:left="623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4.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工程技术档案资料正确、完整</w:t>
      </w:r>
      <w:r>
        <w:rPr>
          <w:rFonts w:ascii="FangSong" w:hAnsi="FangSong" w:eastAsia="FangSong" w:cs="FangSong"/>
          <w:sz w:val="31"/>
          <w:szCs w:val="31"/>
          <w:spacing w:val="1"/>
        </w:rPr>
        <w:t>。</w:t>
      </w:r>
    </w:p>
    <w:p>
      <w:pPr>
        <w:ind w:left="4" w:firstLine="628"/>
        <w:spacing w:before="299"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5.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工程安全生产、文明施工和扬尘控制具有省内同类工程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先进水平，被评定为浙江省建筑施工安全生产标准化管理优</w:t>
      </w:r>
      <w:r>
        <w:rPr>
          <w:rFonts w:ascii="FangSong" w:hAnsi="FangSong" w:eastAsia="FangSong" w:cs="FangSong"/>
          <w:sz w:val="31"/>
          <w:szCs w:val="31"/>
          <w:spacing w:val="6"/>
        </w:rPr>
        <w:t>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工地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(境外工程、农房工程除外)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41" w:firstLine="590"/>
        <w:spacing w:before="2" w:line="38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6.</w:t>
      </w:r>
      <w:r>
        <w:rPr>
          <w:rFonts w:ascii="FangSong" w:hAnsi="FangSong" w:eastAsia="FangSong" w:cs="FangSong"/>
          <w:sz w:val="31"/>
          <w:szCs w:val="31"/>
          <w:spacing w:val="11"/>
        </w:rPr>
        <w:t>无建筑市场违法行为，无质量安全事故，无恶意拖欠</w:t>
      </w:r>
      <w:r>
        <w:rPr>
          <w:rFonts w:ascii="FangSong" w:hAnsi="FangSong" w:eastAsia="FangSong" w:cs="FangSong"/>
          <w:sz w:val="31"/>
          <w:szCs w:val="31"/>
          <w:spacing w:val="9"/>
        </w:rPr>
        <w:t>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民</w:t>
      </w:r>
      <w:r>
        <w:rPr>
          <w:rFonts w:ascii="FangSong" w:hAnsi="FangSong" w:eastAsia="FangSong" w:cs="FangSong"/>
          <w:sz w:val="31"/>
          <w:szCs w:val="31"/>
          <w:spacing w:val="8"/>
        </w:rPr>
        <w:t>工</w:t>
      </w:r>
      <w:r>
        <w:rPr>
          <w:rFonts w:ascii="FangSong" w:hAnsi="FangSong" w:eastAsia="FangSong" w:cs="FangSong"/>
          <w:sz w:val="31"/>
          <w:szCs w:val="31"/>
          <w:spacing w:val="5"/>
        </w:rPr>
        <w:t>工资等造成较大社会影响的案件。</w:t>
      </w:r>
    </w:p>
    <w:p>
      <w:pPr>
        <w:ind w:left="7" w:firstLine="622"/>
        <w:spacing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7.</w:t>
      </w:r>
      <w:r>
        <w:rPr>
          <w:rFonts w:ascii="FangSong" w:hAnsi="FangSong" w:eastAsia="FangSong" w:cs="FangSong"/>
          <w:sz w:val="31"/>
          <w:szCs w:val="31"/>
          <w:spacing w:val="8"/>
        </w:rPr>
        <w:t>住宅</w:t>
      </w:r>
      <w:r>
        <w:rPr>
          <w:rFonts w:ascii="FangSong" w:hAnsi="FangSong" w:eastAsia="FangSong" w:cs="FangSong"/>
          <w:sz w:val="31"/>
          <w:szCs w:val="31"/>
          <w:spacing w:val="7"/>
        </w:rPr>
        <w:t>工</w:t>
      </w:r>
      <w:r>
        <w:rPr>
          <w:rFonts w:ascii="FangSong" w:hAnsi="FangSong" w:eastAsia="FangSong" w:cs="FangSong"/>
          <w:sz w:val="31"/>
          <w:szCs w:val="31"/>
          <w:spacing w:val="4"/>
        </w:rPr>
        <w:t>程装饰装修全部施工到位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(含建筑设备)，且不少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于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40%</w:t>
      </w:r>
      <w:r>
        <w:rPr>
          <w:rFonts w:ascii="FangSong" w:hAnsi="FangSong" w:eastAsia="FangSong" w:cs="FangSong"/>
          <w:sz w:val="31"/>
          <w:szCs w:val="31"/>
          <w:spacing w:val="2"/>
        </w:rPr>
        <w:t>的入住业主质量评价为满意。</w:t>
      </w:r>
    </w:p>
    <w:p>
      <w:pPr>
        <w:ind w:left="3" w:firstLine="634"/>
        <w:spacing w:before="4" w:line="39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8.</w:t>
      </w:r>
      <w:r>
        <w:rPr>
          <w:rFonts w:ascii="FangSong" w:hAnsi="FangSong" w:eastAsia="FangSong" w:cs="FangSong"/>
          <w:sz w:val="31"/>
          <w:szCs w:val="31"/>
          <w:spacing w:val="10"/>
        </w:rPr>
        <w:t>公共建筑的室内部分一次装修到位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(含建筑设备)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的</w:t>
      </w:r>
      <w:r>
        <w:rPr>
          <w:rFonts w:ascii="FangSong" w:hAnsi="FangSong" w:eastAsia="FangSong" w:cs="FangSong"/>
          <w:sz w:val="31"/>
          <w:szCs w:val="31"/>
          <w:spacing w:val="9"/>
        </w:rPr>
        <w:t>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积应不低</w:t>
      </w:r>
      <w:r>
        <w:rPr>
          <w:rFonts w:ascii="FangSong" w:hAnsi="FangSong" w:eastAsia="FangSong" w:cs="FangSong"/>
          <w:sz w:val="31"/>
          <w:szCs w:val="31"/>
          <w:spacing w:val="1"/>
        </w:rPr>
        <w:t>于申报面积的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90%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，室内公共部分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(如楼梯间、电梯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井前</w:t>
      </w:r>
      <w:r>
        <w:rPr>
          <w:rFonts w:ascii="FangSong" w:hAnsi="FangSong" w:eastAsia="FangSong" w:cs="FangSong"/>
          <w:sz w:val="31"/>
          <w:szCs w:val="31"/>
          <w:spacing w:val="13"/>
        </w:rPr>
        <w:t>室</w:t>
      </w:r>
      <w:r>
        <w:rPr>
          <w:rFonts w:ascii="FangSong" w:hAnsi="FangSong" w:eastAsia="FangSong" w:cs="FangSong"/>
          <w:sz w:val="31"/>
          <w:szCs w:val="31"/>
          <w:spacing w:val="7"/>
        </w:rPr>
        <w:t>、厕浴、走廊、地下室等)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和室外部分应一次装修到位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7"/>
        </w:rPr>
        <w:t>(</w:t>
      </w:r>
      <w:r>
        <w:rPr>
          <w:rFonts w:ascii="FangSong" w:hAnsi="FangSong" w:eastAsia="FangSong" w:cs="FangSong"/>
          <w:sz w:val="31"/>
          <w:szCs w:val="31"/>
          <w:spacing w:val="24"/>
        </w:rPr>
        <w:t>含建筑设备)。</w:t>
      </w:r>
    </w:p>
    <w:p>
      <w:pPr>
        <w:ind w:left="5" w:firstLine="625"/>
        <w:spacing w:before="16" w:line="38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9.</w:t>
      </w:r>
      <w:r>
        <w:rPr>
          <w:rFonts w:ascii="FangSong" w:hAnsi="FangSong" w:eastAsia="FangSong" w:cs="FangSong"/>
          <w:sz w:val="31"/>
          <w:szCs w:val="31"/>
          <w:spacing w:val="11"/>
        </w:rPr>
        <w:t>绿色建筑和有重要技术创新项目，装配式建筑、住宅</w:t>
      </w:r>
      <w:r>
        <w:rPr>
          <w:rFonts w:ascii="FangSong" w:hAnsi="FangSong" w:eastAsia="FangSong" w:cs="FangSong"/>
          <w:sz w:val="31"/>
          <w:szCs w:val="31"/>
          <w:spacing w:val="10"/>
        </w:rPr>
        <w:t>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装</w:t>
      </w:r>
      <w:r>
        <w:rPr>
          <w:rFonts w:ascii="FangSong" w:hAnsi="FangSong" w:eastAsia="FangSong" w:cs="FangSong"/>
          <w:sz w:val="31"/>
          <w:szCs w:val="31"/>
          <w:spacing w:val="8"/>
        </w:rPr>
        <w:t>修项目以及基础设施和公共服务项目优先认定。</w:t>
      </w:r>
    </w:p>
    <w:p>
      <w:pPr>
        <w:ind w:firstLine="655"/>
        <w:spacing w:before="6" w:line="39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10.</w:t>
      </w:r>
      <w:r>
        <w:rPr>
          <w:rFonts w:ascii="FangSong" w:hAnsi="FangSong" w:eastAsia="FangSong" w:cs="FangSong"/>
          <w:sz w:val="31"/>
          <w:szCs w:val="31"/>
          <w:spacing w:val="4"/>
        </w:rPr>
        <w:t>住宅、公共建筑、工业建筑及市政工程中的高架道路</w:t>
      </w:r>
      <w:r>
        <w:rPr>
          <w:rFonts w:ascii="FangSong" w:hAnsi="FangSong" w:eastAsia="FangSong" w:cs="FangSong"/>
          <w:sz w:val="31"/>
          <w:szCs w:val="31"/>
          <w:spacing w:val="2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立</w:t>
      </w:r>
      <w:r>
        <w:rPr>
          <w:rFonts w:ascii="FangSong" w:hAnsi="FangSong" w:eastAsia="FangSong" w:cs="FangSong"/>
          <w:sz w:val="31"/>
          <w:szCs w:val="31"/>
          <w:spacing w:val="8"/>
        </w:rPr>
        <w:t>交桥等工程结构必须为优质结构工程。开展市级工程优质结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构</w:t>
      </w:r>
      <w:r>
        <w:rPr>
          <w:rFonts w:ascii="FangSong" w:hAnsi="FangSong" w:eastAsia="FangSong" w:cs="FangSong"/>
          <w:sz w:val="31"/>
          <w:szCs w:val="31"/>
          <w:spacing w:val="8"/>
        </w:rPr>
        <w:t>评定的地区，应为市级优质结构工程；未开展市级工程优质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结</w:t>
      </w:r>
      <w:r>
        <w:rPr>
          <w:rFonts w:ascii="FangSong" w:hAnsi="FangSong" w:eastAsia="FangSong" w:cs="FangSong"/>
          <w:sz w:val="31"/>
          <w:szCs w:val="31"/>
          <w:spacing w:val="8"/>
        </w:rPr>
        <w:t>构评定的地区，由工程所在地建设行政主管部门或其委托的</w:t>
      </w:r>
    </w:p>
    <w:p>
      <w:pPr>
        <w:sectPr>
          <w:footerReference w:type="default" r:id="rId2"/>
          <w:pgSz w:w="11907" w:h="16839"/>
          <w:pgMar w:top="1431" w:right="1650" w:bottom="1417" w:left="1666" w:header="0" w:footer="1252" w:gutter="0"/>
        </w:sectPr>
        <w:rPr/>
      </w:pPr>
    </w:p>
    <w:p>
      <w:pPr>
        <w:spacing w:line="331" w:lineRule="auto"/>
        <w:rPr>
          <w:rFonts w:ascii="Arial"/>
          <w:sz w:val="21"/>
        </w:rPr>
      </w:pPr>
      <w:r/>
    </w:p>
    <w:p>
      <w:pPr>
        <w:ind w:left="12" w:firstLine="3"/>
        <w:spacing w:before="101"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市级</w:t>
      </w:r>
      <w:r>
        <w:rPr>
          <w:rFonts w:ascii="FangSong" w:hAnsi="FangSong" w:eastAsia="FangSong" w:cs="FangSong"/>
          <w:sz w:val="31"/>
          <w:szCs w:val="31"/>
          <w:spacing w:val="13"/>
        </w:rPr>
        <w:t>协</w:t>
      </w:r>
      <w:r>
        <w:rPr>
          <w:rFonts w:ascii="FangSong" w:hAnsi="FangSong" w:eastAsia="FangSong" w:cs="FangSong"/>
          <w:sz w:val="31"/>
          <w:szCs w:val="31"/>
          <w:spacing w:val="7"/>
        </w:rPr>
        <w:t>会联合有关部门组织专家评价审定，并提供工程结构质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量</w:t>
      </w:r>
      <w:r>
        <w:rPr>
          <w:rFonts w:ascii="FangSong" w:hAnsi="FangSong" w:eastAsia="FangSong" w:cs="FangSong"/>
          <w:sz w:val="31"/>
          <w:szCs w:val="31"/>
          <w:spacing w:val="7"/>
        </w:rPr>
        <w:t>为</w:t>
      </w:r>
      <w:r>
        <w:rPr>
          <w:rFonts w:ascii="FangSong" w:hAnsi="FangSong" w:eastAsia="FangSong" w:cs="FangSong"/>
          <w:sz w:val="31"/>
          <w:szCs w:val="31"/>
          <w:spacing w:val="5"/>
        </w:rPr>
        <w:t>优质的证明材料。</w:t>
      </w:r>
    </w:p>
    <w:p>
      <w:pPr>
        <w:ind w:left="6" w:firstLine="655"/>
        <w:spacing w:before="2"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11.</w:t>
      </w:r>
      <w:r>
        <w:rPr>
          <w:rFonts w:ascii="FangSong" w:hAnsi="FangSong" w:eastAsia="FangSong" w:cs="FangSong"/>
          <w:sz w:val="31"/>
          <w:szCs w:val="31"/>
          <w:spacing w:val="4"/>
        </w:rPr>
        <w:t>农村住房工程要求统一规划、连片建设，办理《乡村</w:t>
      </w:r>
      <w:r>
        <w:rPr>
          <w:rFonts w:ascii="FangSong" w:hAnsi="FangSong" w:eastAsia="FangSong" w:cs="FangSong"/>
          <w:sz w:val="31"/>
          <w:szCs w:val="31"/>
          <w:spacing w:val="2"/>
        </w:rPr>
        <w:t>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设规划许</w:t>
      </w:r>
      <w:r>
        <w:rPr>
          <w:rFonts w:ascii="FangSong" w:hAnsi="FangSong" w:eastAsia="FangSong" w:cs="FangSong"/>
          <w:sz w:val="31"/>
          <w:szCs w:val="31"/>
          <w:spacing w:val="2"/>
        </w:rPr>
        <w:t>可证》或《建设工程规划许可证》，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由具有资质的设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计</w:t>
      </w:r>
      <w:r>
        <w:rPr>
          <w:rFonts w:ascii="FangSong" w:hAnsi="FangSong" w:eastAsia="FangSong" w:cs="FangSong"/>
          <w:sz w:val="31"/>
          <w:szCs w:val="31"/>
          <w:spacing w:val="8"/>
        </w:rPr>
        <w:t>、施工、监理单位实施，配套完善并且办理竣工验收手续。</w:t>
      </w:r>
    </w:p>
    <w:p>
      <w:pPr>
        <w:ind w:left="4" w:firstLine="639"/>
        <w:spacing w:line="39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9"/>
        </w:rPr>
        <w:t>三</w:t>
      </w:r>
      <w:r>
        <w:rPr>
          <w:rFonts w:ascii="SimHei" w:hAnsi="SimHei" w:eastAsia="SimHei" w:cs="SimHei"/>
          <w:sz w:val="31"/>
          <w:szCs w:val="31"/>
          <w:spacing w:val="21"/>
        </w:rPr>
        <w:t>、钱江杯考核认定项目工程规模必须符合下列条件之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7"/>
        </w:rPr>
        <w:t>一</w:t>
      </w:r>
      <w:r>
        <w:rPr>
          <w:rFonts w:ascii="SimHei" w:hAnsi="SimHei" w:eastAsia="SimHei" w:cs="SimHei"/>
          <w:sz w:val="31"/>
          <w:szCs w:val="31"/>
          <w:spacing w:val="-6"/>
        </w:rPr>
        <w:t>：</w:t>
      </w:r>
    </w:p>
    <w:p>
      <w:pPr>
        <w:ind w:left="660"/>
        <w:spacing w:line="23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20"/>
        </w:rPr>
        <w:t>(一)</w:t>
      </w:r>
      <w:r>
        <w:rPr>
          <w:rFonts w:ascii="KaiTi" w:hAnsi="KaiTi" w:eastAsia="KaiTi" w:cs="KaiTi"/>
          <w:sz w:val="31"/>
          <w:szCs w:val="31"/>
          <w:spacing w:val="20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20"/>
        </w:rPr>
        <w:t>房屋建筑工</w:t>
      </w:r>
      <w:r>
        <w:rPr>
          <w:rFonts w:ascii="KaiTi" w:hAnsi="KaiTi" w:eastAsia="KaiTi" w:cs="KaiTi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程</w:t>
      </w:r>
    </w:p>
    <w:p>
      <w:pPr>
        <w:ind w:left="39" w:firstLine="622"/>
        <w:spacing w:before="269"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10000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座以上</w:t>
      </w:r>
      <w:r>
        <w:rPr>
          <w:rFonts w:ascii="FangSong" w:hAnsi="FangSong" w:eastAsia="FangSong" w:cs="FangSong"/>
          <w:sz w:val="31"/>
          <w:szCs w:val="31"/>
          <w:spacing w:val="-1"/>
        </w:rPr>
        <w:t>的体育场或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3000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座以上的体育馆；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1000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以</w:t>
      </w:r>
      <w:r>
        <w:rPr>
          <w:rFonts w:ascii="FangSong" w:hAnsi="FangSong" w:eastAsia="FangSong" w:cs="FangSong"/>
          <w:sz w:val="31"/>
          <w:szCs w:val="31"/>
          <w:spacing w:val="5"/>
        </w:rPr>
        <w:t>上的影剧院；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1000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座以上的游泳馆；</w:t>
      </w:r>
    </w:p>
    <w:p>
      <w:pPr>
        <w:ind w:left="7" w:firstLine="705"/>
        <w:spacing w:before="2"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2.</w:t>
      </w:r>
      <w:r>
        <w:rPr>
          <w:rFonts w:ascii="FangSong" w:hAnsi="FangSong" w:eastAsia="FangSong" w:cs="FangSong"/>
          <w:sz w:val="31"/>
          <w:szCs w:val="31"/>
          <w:spacing w:val="8"/>
        </w:rPr>
        <w:t>建筑面</w:t>
      </w:r>
      <w:r>
        <w:rPr>
          <w:rFonts w:ascii="FangSong" w:hAnsi="FangSong" w:eastAsia="FangSong" w:cs="FangSong"/>
          <w:sz w:val="31"/>
          <w:szCs w:val="31"/>
          <w:spacing w:val="4"/>
        </w:rPr>
        <w:t>积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万平方米以上的其他群体公共建筑工程，或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建筑面积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万平方米以上的其他单体公共建筑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(衢州、丽水、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舟</w:t>
      </w:r>
      <w:r>
        <w:rPr>
          <w:rFonts w:ascii="FangSong" w:hAnsi="FangSong" w:eastAsia="FangSong" w:cs="FangSong"/>
          <w:sz w:val="31"/>
          <w:szCs w:val="31"/>
          <w:spacing w:val="4"/>
        </w:rPr>
        <w:t>山等地区的其他单体公共建筑建筑面积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8000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平方米以上)；</w:t>
      </w:r>
    </w:p>
    <w:p>
      <w:pPr>
        <w:ind w:left="719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3.</w:t>
      </w:r>
      <w:r>
        <w:rPr>
          <w:rFonts w:ascii="FangSong" w:hAnsi="FangSong" w:eastAsia="FangSong" w:cs="FangSong"/>
          <w:sz w:val="31"/>
          <w:szCs w:val="31"/>
          <w:spacing w:val="4"/>
        </w:rPr>
        <w:t>建筑面积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万平方米以上住宅小区或组团</w:t>
      </w:r>
      <w:r>
        <w:rPr>
          <w:rFonts w:ascii="FangSong" w:hAnsi="FangSong" w:eastAsia="FangSong" w:cs="FangSong"/>
          <w:sz w:val="31"/>
          <w:szCs w:val="31"/>
          <w:spacing w:val="2"/>
        </w:rPr>
        <w:t>；</w:t>
      </w:r>
    </w:p>
    <w:p>
      <w:pPr>
        <w:ind w:left="11" w:firstLine="700"/>
        <w:spacing w:before="278" w:line="39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4.</w:t>
      </w:r>
      <w:r>
        <w:rPr>
          <w:rFonts w:ascii="FangSong" w:hAnsi="FangSong" w:eastAsia="FangSong" w:cs="FangSong"/>
          <w:sz w:val="31"/>
          <w:szCs w:val="31"/>
          <w:spacing w:val="8"/>
        </w:rPr>
        <w:t>建筑面</w:t>
      </w:r>
      <w:r>
        <w:rPr>
          <w:rFonts w:ascii="FangSong" w:hAnsi="FangSong" w:eastAsia="FangSong" w:cs="FangSong"/>
          <w:sz w:val="31"/>
          <w:szCs w:val="31"/>
          <w:spacing w:val="6"/>
        </w:rPr>
        <w:t>积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万平方米以上的群体装配式建筑工程，或建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筑面积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8000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平方米以上单体装配</w:t>
      </w:r>
      <w:r>
        <w:rPr>
          <w:rFonts w:ascii="FangSong" w:hAnsi="FangSong" w:eastAsia="FangSong" w:cs="FangSong"/>
          <w:sz w:val="31"/>
          <w:szCs w:val="31"/>
        </w:rPr>
        <w:t>式建筑，同时项目应符合《装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配</w:t>
      </w:r>
      <w:r>
        <w:rPr>
          <w:rFonts w:ascii="FangSong" w:hAnsi="FangSong" w:eastAsia="FangSong" w:cs="FangSong"/>
          <w:sz w:val="31"/>
          <w:szCs w:val="31"/>
          <w:spacing w:val="6"/>
        </w:rPr>
        <w:t>式建筑评价标准》要求；</w:t>
      </w:r>
    </w:p>
    <w:p>
      <w:pPr>
        <w:ind w:left="11" w:right="53" w:firstLine="710"/>
        <w:spacing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5.</w:t>
      </w:r>
      <w:r>
        <w:rPr>
          <w:rFonts w:ascii="FangSong" w:hAnsi="FangSong" w:eastAsia="FangSong" w:cs="FangSong"/>
          <w:sz w:val="31"/>
          <w:szCs w:val="31"/>
          <w:spacing w:val="10"/>
        </w:rPr>
        <w:t>面</w:t>
      </w:r>
      <w:r>
        <w:rPr>
          <w:rFonts w:ascii="FangSong" w:hAnsi="FangSong" w:eastAsia="FangSong" w:cs="FangSong"/>
          <w:sz w:val="31"/>
          <w:szCs w:val="31"/>
          <w:spacing w:val="8"/>
        </w:rPr>
        <w:t>积</w:t>
      </w:r>
      <w:r>
        <w:rPr>
          <w:rFonts w:ascii="FangSong" w:hAnsi="FangSong" w:eastAsia="FangSong" w:cs="FangSong"/>
          <w:sz w:val="31"/>
          <w:szCs w:val="31"/>
          <w:spacing w:val="5"/>
        </w:rPr>
        <w:t>偏小但具有代表性和影响力，建筑风格独具特色，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具</w:t>
      </w:r>
      <w:r>
        <w:rPr>
          <w:rFonts w:ascii="FangSong" w:hAnsi="FangSong" w:eastAsia="FangSong" w:cs="FangSong"/>
          <w:sz w:val="31"/>
          <w:szCs w:val="31"/>
          <w:spacing w:val="12"/>
        </w:rPr>
        <w:t>有</w:t>
      </w:r>
      <w:r>
        <w:rPr>
          <w:rFonts w:ascii="FangSong" w:hAnsi="FangSong" w:eastAsia="FangSong" w:cs="FangSong"/>
          <w:sz w:val="31"/>
          <w:szCs w:val="31"/>
          <w:spacing w:val="8"/>
        </w:rPr>
        <w:t>显著社会效益和环境效益，质量特别优良的工程项目。</w:t>
      </w:r>
    </w:p>
    <w:p>
      <w:pPr>
        <w:ind w:left="660"/>
        <w:spacing w:before="2" w:line="22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(二)</w:t>
      </w:r>
      <w:r>
        <w:rPr>
          <w:rFonts w:ascii="KaiTi" w:hAnsi="KaiTi" w:eastAsia="KaiTi" w:cs="KaiTi"/>
          <w:sz w:val="31"/>
          <w:szCs w:val="31"/>
          <w:spacing w:val="1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市政基础设施工程</w:t>
      </w:r>
    </w:p>
    <w:p>
      <w:pPr>
        <w:sectPr>
          <w:footerReference w:type="default" r:id="rId3"/>
          <w:pgSz w:w="11907" w:h="16839"/>
          <w:pgMar w:top="1431" w:right="1650" w:bottom="1419" w:left="1659" w:header="0" w:footer="1252" w:gutter="0"/>
        </w:sectPr>
        <w:rPr/>
      </w:pPr>
    </w:p>
    <w:p>
      <w:pPr>
        <w:spacing w:line="331" w:lineRule="auto"/>
        <w:rPr>
          <w:rFonts w:ascii="Arial"/>
          <w:sz w:val="21"/>
        </w:rPr>
      </w:pPr>
      <w:r/>
    </w:p>
    <w:p>
      <w:pPr>
        <w:ind w:left="1" w:firstLine="733"/>
        <w:spacing w:before="101"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合同造价在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3000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万元以上的城市道路工程；合同造价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在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3500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万元以上的河道堤岸工程；</w:t>
      </w:r>
    </w:p>
    <w:p>
      <w:pPr>
        <w:ind w:left="704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2.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合同造价在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5000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万元以上的城市桥</w:t>
      </w:r>
      <w:r>
        <w:rPr>
          <w:rFonts w:ascii="FangSong" w:hAnsi="FangSong" w:eastAsia="FangSong" w:cs="FangSong"/>
          <w:sz w:val="31"/>
          <w:szCs w:val="31"/>
        </w:rPr>
        <w:t>梁工程；</w:t>
      </w:r>
    </w:p>
    <w:p>
      <w:pPr>
        <w:ind w:firstLine="710"/>
        <w:spacing w:before="288"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3.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合同造价在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5000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万元以上的隧道、综合管廊、城市</w:t>
      </w:r>
      <w:r>
        <w:rPr>
          <w:rFonts w:ascii="FangSong" w:hAnsi="FangSong" w:eastAsia="FangSong" w:cs="FangSong"/>
          <w:sz w:val="31"/>
          <w:szCs w:val="31"/>
          <w:spacing w:val="1"/>
        </w:rPr>
        <w:t>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场、轨道交通停车场等工程；合同造价在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3000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万元以上的</w:t>
      </w:r>
      <w:r>
        <w:rPr>
          <w:rFonts w:ascii="FangSong" w:hAnsi="FangSong" w:eastAsia="FangSong" w:cs="FangSong"/>
          <w:sz w:val="31"/>
          <w:szCs w:val="31"/>
          <w:spacing w:val="4"/>
        </w:rPr>
        <w:t>管</w:t>
      </w:r>
    </w:p>
    <w:p>
      <w:pPr>
        <w:spacing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道</w:t>
      </w:r>
      <w:r>
        <w:rPr>
          <w:rFonts w:ascii="FangSong" w:hAnsi="FangSong" w:eastAsia="FangSong" w:cs="FangSong"/>
          <w:sz w:val="31"/>
          <w:szCs w:val="31"/>
        </w:rPr>
        <w:t>工程；</w:t>
      </w:r>
    </w:p>
    <w:p>
      <w:pPr>
        <w:ind w:firstLine="702"/>
        <w:spacing w:before="221" w:line="40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4.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日处理能力在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万吨以上</w:t>
      </w:r>
      <w:r>
        <w:rPr>
          <w:rFonts w:ascii="FangSong" w:hAnsi="FangSong" w:eastAsia="FangSong" w:cs="FangSong"/>
          <w:sz w:val="31"/>
          <w:szCs w:val="31"/>
          <w:spacing w:val="1"/>
        </w:rPr>
        <w:t>的供水厂工程；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万吨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/</w:t>
      </w:r>
      <w:r>
        <w:rPr>
          <w:rFonts w:ascii="FangSong" w:hAnsi="FangSong" w:eastAsia="FangSong" w:cs="FangSong"/>
          <w:sz w:val="31"/>
          <w:szCs w:val="31"/>
          <w:spacing w:val="1"/>
        </w:rPr>
        <w:t>日以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上的污水处理工程；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日处理能力在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吨以上的城市生活垃圾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处</w:t>
      </w:r>
      <w:r>
        <w:rPr>
          <w:rFonts w:ascii="FangSong" w:hAnsi="FangSong" w:eastAsia="FangSong" w:cs="FangSong"/>
          <w:sz w:val="31"/>
          <w:szCs w:val="31"/>
          <w:spacing w:val="2"/>
        </w:rPr>
        <w:t>理工程；</w:t>
      </w:r>
    </w:p>
    <w:p>
      <w:pPr>
        <w:ind w:firstLine="631"/>
        <w:spacing w:before="1"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.</w:t>
      </w:r>
      <w:r>
        <w:rPr>
          <w:rFonts w:ascii="FangSong" w:hAnsi="FangSong" w:eastAsia="FangSong" w:cs="FangSong"/>
          <w:sz w:val="31"/>
          <w:szCs w:val="31"/>
          <w:spacing w:val="7"/>
        </w:rPr>
        <w:t>长度在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千米及以上城市轨道交通工程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(必须最小单元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是</w:t>
      </w:r>
      <w:r>
        <w:rPr>
          <w:rFonts w:ascii="FangSong" w:hAnsi="FangSong" w:eastAsia="FangSong" w:cs="FangSong"/>
          <w:sz w:val="31"/>
          <w:szCs w:val="31"/>
          <w:spacing w:val="5"/>
        </w:rPr>
        <w:t>一站一区间)。</w:t>
      </w:r>
    </w:p>
    <w:p>
      <w:pPr>
        <w:ind w:left="651"/>
        <w:spacing w:before="1" w:line="23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25"/>
        </w:rPr>
        <w:t>(</w:t>
      </w:r>
      <w:r>
        <w:rPr>
          <w:rFonts w:ascii="KaiTi" w:hAnsi="KaiTi" w:eastAsia="KaiTi" w:cs="KaiTi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22"/>
        </w:rPr>
        <w:t>三)</w:t>
      </w:r>
      <w:r>
        <w:rPr>
          <w:rFonts w:ascii="KaiTi" w:hAnsi="KaiTi" w:eastAsia="KaiTi" w:cs="KaiTi"/>
          <w:sz w:val="31"/>
          <w:szCs w:val="31"/>
          <w:spacing w:val="2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22"/>
        </w:rPr>
        <w:t>交通工程</w:t>
      </w:r>
    </w:p>
    <w:p>
      <w:pPr>
        <w:ind w:left="17" w:firstLine="717"/>
        <w:spacing w:before="267"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1.</w:t>
      </w:r>
      <w:r>
        <w:rPr>
          <w:rFonts w:ascii="FangSong" w:hAnsi="FangSong" w:eastAsia="FangSong" w:cs="FangSong"/>
          <w:sz w:val="31"/>
          <w:szCs w:val="31"/>
          <w:spacing w:val="6"/>
        </w:rPr>
        <w:t>长度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公里以上的一级公路或高速公路；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20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公里以上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的二</w:t>
      </w:r>
      <w:r>
        <w:rPr>
          <w:rFonts w:ascii="FangSong" w:hAnsi="FangSong" w:eastAsia="FangSong" w:cs="FangSong"/>
          <w:sz w:val="31"/>
          <w:szCs w:val="31"/>
        </w:rPr>
        <w:t>级公路；</w:t>
      </w:r>
    </w:p>
    <w:p>
      <w:pPr>
        <w:ind w:right="71" w:firstLine="704"/>
        <w:spacing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2.</w:t>
      </w:r>
      <w:r>
        <w:rPr>
          <w:rFonts w:ascii="FangSong" w:hAnsi="FangSong" w:eastAsia="FangSong" w:cs="FangSong"/>
          <w:sz w:val="31"/>
          <w:szCs w:val="31"/>
          <w:spacing w:val="6"/>
        </w:rPr>
        <w:t>连</w:t>
      </w:r>
      <w:r>
        <w:rPr>
          <w:rFonts w:ascii="FangSong" w:hAnsi="FangSong" w:eastAsia="FangSong" w:cs="FangSong"/>
          <w:sz w:val="31"/>
          <w:szCs w:val="31"/>
          <w:spacing w:val="4"/>
        </w:rPr>
        <w:t>续全长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1000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米以上或单跨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150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米以上的公路桥梁；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连续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1000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米以上的公路隧道；</w:t>
      </w:r>
    </w:p>
    <w:p>
      <w:pPr>
        <w:ind w:left="2" w:firstLine="708"/>
        <w:spacing w:before="3"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.</w:t>
      </w:r>
      <w:r>
        <w:rPr>
          <w:rFonts w:ascii="FangSong" w:hAnsi="FangSong" w:eastAsia="FangSong" w:cs="FangSong"/>
          <w:sz w:val="31"/>
          <w:szCs w:val="31"/>
          <w:spacing w:val="10"/>
        </w:rPr>
        <w:t>长度在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公里以上的五级及以上航道；靠泊能力万吨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级及以上沿海泊位；含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个以上的靠泊能力为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300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吨级</w:t>
      </w:r>
      <w:r>
        <w:rPr>
          <w:rFonts w:ascii="FangSong" w:hAnsi="FangSong" w:eastAsia="FangSong" w:cs="FangSong"/>
          <w:sz w:val="31"/>
          <w:szCs w:val="31"/>
          <w:spacing w:val="1"/>
        </w:rPr>
        <w:t>及</w:t>
      </w:r>
      <w:r>
        <w:rPr>
          <w:rFonts w:ascii="FangSong" w:hAnsi="FangSong" w:eastAsia="FangSong" w:cs="FangSong"/>
          <w:sz w:val="31"/>
          <w:szCs w:val="31"/>
        </w:rPr>
        <w:t>以上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的内河泊位</w:t>
      </w:r>
      <w:r>
        <w:rPr>
          <w:rFonts w:ascii="FangSong" w:hAnsi="FangSong" w:eastAsia="FangSong" w:cs="FangSong"/>
          <w:sz w:val="31"/>
          <w:szCs w:val="31"/>
          <w:spacing w:val="2"/>
        </w:rPr>
        <w:t>；</w:t>
      </w:r>
    </w:p>
    <w:p>
      <w:pPr>
        <w:ind w:left="702"/>
        <w:spacing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.</w:t>
      </w:r>
      <w:r>
        <w:rPr>
          <w:rFonts w:ascii="FangSong" w:hAnsi="FangSong" w:eastAsia="FangSong" w:cs="FangSong"/>
          <w:sz w:val="31"/>
          <w:szCs w:val="31"/>
          <w:spacing w:val="4"/>
        </w:rPr>
        <w:t>长度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50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公里以上的地方铁路和城际轨道。</w:t>
      </w:r>
    </w:p>
    <w:p>
      <w:pPr>
        <w:sectPr>
          <w:footerReference w:type="default" r:id="rId4"/>
          <w:pgSz w:w="11907" w:h="16839"/>
          <w:pgMar w:top="1431" w:right="1650" w:bottom="1419" w:left="1668" w:header="0" w:footer="1252" w:gutter="0"/>
        </w:sectPr>
        <w:rPr/>
      </w:pPr>
    </w:p>
    <w:p>
      <w:pPr>
        <w:spacing w:line="330" w:lineRule="auto"/>
        <w:rPr>
          <w:rFonts w:ascii="Arial"/>
          <w:sz w:val="21"/>
        </w:rPr>
      </w:pPr>
      <w:r/>
    </w:p>
    <w:p>
      <w:pPr>
        <w:ind w:left="660"/>
        <w:spacing w:before="101" w:line="23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25"/>
        </w:rPr>
        <w:t>(</w:t>
      </w:r>
      <w:r>
        <w:rPr>
          <w:rFonts w:ascii="KaiTi" w:hAnsi="KaiTi" w:eastAsia="KaiTi" w:cs="KaiTi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22"/>
        </w:rPr>
        <w:t>四)</w:t>
      </w:r>
      <w:r>
        <w:rPr>
          <w:rFonts w:ascii="KaiTi" w:hAnsi="KaiTi" w:eastAsia="KaiTi" w:cs="KaiTi"/>
          <w:sz w:val="31"/>
          <w:szCs w:val="31"/>
          <w:spacing w:val="2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22"/>
        </w:rPr>
        <w:t>水利工程</w:t>
      </w:r>
    </w:p>
    <w:p>
      <w:pPr>
        <w:ind w:left="9" w:firstLine="733"/>
        <w:spacing w:before="269"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总库容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1000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万立方米以上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(含)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的水库，过闸流量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立</w:t>
      </w:r>
      <w:r>
        <w:rPr>
          <w:rFonts w:ascii="FangSong" w:hAnsi="FangSong" w:eastAsia="FangSong" w:cs="FangSong"/>
          <w:sz w:val="31"/>
          <w:szCs w:val="31"/>
          <w:spacing w:val="14"/>
        </w:rPr>
        <w:t>方</w:t>
      </w:r>
      <w:r>
        <w:rPr>
          <w:rFonts w:ascii="FangSong" w:hAnsi="FangSong" w:eastAsia="FangSong" w:cs="FangSong"/>
          <w:sz w:val="31"/>
          <w:szCs w:val="31"/>
          <w:spacing w:val="9"/>
        </w:rPr>
        <w:t>米每秒以上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(含)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的水闸，装机流量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立方米每秒以上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(</w:t>
      </w:r>
      <w:r>
        <w:rPr>
          <w:rFonts w:ascii="FangSong" w:hAnsi="FangSong" w:eastAsia="FangSong" w:cs="FangSong"/>
          <w:sz w:val="31"/>
          <w:szCs w:val="31"/>
          <w:spacing w:val="10"/>
        </w:rPr>
        <w:t>含</w:t>
      </w:r>
      <w:r>
        <w:rPr>
          <w:rFonts w:ascii="FangSong" w:hAnsi="FangSong" w:eastAsia="FangSong" w:cs="FangSong"/>
          <w:sz w:val="31"/>
          <w:szCs w:val="31"/>
          <w:spacing w:val="9"/>
        </w:rPr>
        <w:t>)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或装机功率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1000</w:t>
      </w:r>
      <w:r>
        <w:rPr>
          <w:rFonts w:ascii="Times New Roman" w:hAnsi="Times New Roman" w:eastAsia="Times New Roman" w:cs="Times New Roman"/>
          <w:sz w:val="31"/>
          <w:szCs w:val="31"/>
        </w:rPr>
        <w:t>kW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以上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(含)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的泵站；</w:t>
      </w:r>
    </w:p>
    <w:p>
      <w:pPr>
        <w:ind w:left="11" w:right="5" w:firstLine="702"/>
        <w:spacing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2.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引水流量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立方米每秒以上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(含)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或</w:t>
      </w:r>
      <w:r>
        <w:rPr>
          <w:rFonts w:ascii="FangSong" w:hAnsi="FangSong" w:eastAsia="FangSong" w:cs="FangSong"/>
          <w:sz w:val="31"/>
          <w:szCs w:val="31"/>
        </w:rPr>
        <w:t>年引水量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亿立方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米</w:t>
      </w:r>
      <w:r>
        <w:rPr>
          <w:rFonts w:ascii="FangSong" w:hAnsi="FangSong" w:eastAsia="FangSong" w:cs="FangSong"/>
          <w:sz w:val="31"/>
          <w:szCs w:val="31"/>
          <w:spacing w:val="5"/>
        </w:rPr>
        <w:t>以上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(含)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的引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(调)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水隧洞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(管道)；</w:t>
      </w:r>
    </w:p>
    <w:p>
      <w:pPr>
        <w:ind w:left="12" w:right="68" w:firstLine="707"/>
        <w:spacing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3.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防洪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(潮)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标准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年一遇以上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(含)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的堤防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(海塘)，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灌溉面积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万亩以上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(含)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的灌区。</w:t>
      </w:r>
    </w:p>
    <w:p>
      <w:pPr>
        <w:ind w:left="660"/>
        <w:spacing w:line="23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25"/>
        </w:rPr>
        <w:t>(</w:t>
      </w:r>
      <w:r>
        <w:rPr>
          <w:rFonts w:ascii="KaiTi" w:hAnsi="KaiTi" w:eastAsia="KaiTi" w:cs="KaiTi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22"/>
        </w:rPr>
        <w:t>五)</w:t>
      </w:r>
      <w:r>
        <w:rPr>
          <w:rFonts w:ascii="KaiTi" w:hAnsi="KaiTi" w:eastAsia="KaiTi" w:cs="KaiTi"/>
          <w:sz w:val="31"/>
          <w:szCs w:val="31"/>
          <w:spacing w:val="2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22"/>
        </w:rPr>
        <w:t>能源工程</w:t>
      </w:r>
    </w:p>
    <w:p>
      <w:pPr>
        <w:ind w:left="9" w:right="5" w:firstLine="733"/>
        <w:spacing w:before="272"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总装机容量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250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兆瓦以上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(含)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的水力发电厂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(站)；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单机容量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300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兆瓦以上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(含)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的火力发电厂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(站)；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单</w:t>
      </w:r>
      <w:r>
        <w:rPr>
          <w:rFonts w:ascii="FangSong" w:hAnsi="FangSong" w:eastAsia="FangSong" w:cs="FangSong"/>
          <w:sz w:val="31"/>
          <w:szCs w:val="31"/>
        </w:rPr>
        <w:t>机容量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180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兆瓦以上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(含)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的燃气发电厂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(站)；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单机容量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25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兆瓦以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上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(含)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的垃圾及生物质发电厂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(站)；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单机容量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600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兆瓦以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上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(含)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的核电厂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(站)；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总装机容量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100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兆瓦以上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(含)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风</w:t>
      </w:r>
      <w:r>
        <w:rPr>
          <w:rFonts w:ascii="FangSong" w:hAnsi="FangSong" w:eastAsia="FangSong" w:cs="FangSong"/>
          <w:sz w:val="31"/>
          <w:szCs w:val="31"/>
          <w:spacing w:val="4"/>
        </w:rPr>
        <w:t>力、光伏发电厂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(站)；</w:t>
      </w:r>
    </w:p>
    <w:p>
      <w:pPr>
        <w:ind w:left="719" w:right="1624" w:hanging="6"/>
        <w:spacing w:before="1"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2.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变电电压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220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千伏以上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(含)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的变电站；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3.</w:t>
      </w:r>
      <w:r>
        <w:rPr>
          <w:rFonts w:ascii="FangSong" w:hAnsi="FangSong" w:eastAsia="FangSong" w:cs="FangSong"/>
          <w:sz w:val="31"/>
          <w:szCs w:val="31"/>
          <w:spacing w:val="4"/>
        </w:rPr>
        <w:t>投</w:t>
      </w:r>
      <w:r>
        <w:rPr>
          <w:rFonts w:ascii="FangSong" w:hAnsi="FangSong" w:eastAsia="FangSong" w:cs="FangSong"/>
          <w:sz w:val="31"/>
          <w:szCs w:val="31"/>
          <w:spacing w:val="3"/>
        </w:rPr>
        <w:t>资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亿元以上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(含)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的石油天然气工程。</w:t>
      </w:r>
    </w:p>
    <w:p>
      <w:pPr>
        <w:ind w:left="660"/>
        <w:spacing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25"/>
        </w:rPr>
        <w:t>(</w:t>
      </w:r>
      <w:r>
        <w:rPr>
          <w:rFonts w:ascii="KaiTi" w:hAnsi="KaiTi" w:eastAsia="KaiTi" w:cs="KaiTi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22"/>
        </w:rPr>
        <w:t>六)</w:t>
      </w:r>
      <w:r>
        <w:rPr>
          <w:rFonts w:ascii="KaiTi" w:hAnsi="KaiTi" w:eastAsia="KaiTi" w:cs="KaiTi"/>
          <w:sz w:val="31"/>
          <w:szCs w:val="31"/>
          <w:spacing w:val="2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22"/>
        </w:rPr>
        <w:t>园林工程</w:t>
      </w:r>
    </w:p>
    <w:p>
      <w:pPr>
        <w:ind w:left="698" w:firstLine="30"/>
        <w:spacing w:before="270" w:line="40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1.</w:t>
      </w:r>
      <w:r>
        <w:rPr>
          <w:rFonts w:ascii="FangSong" w:hAnsi="FangSong" w:eastAsia="FangSong" w:cs="FangSong"/>
          <w:sz w:val="31"/>
          <w:szCs w:val="31"/>
          <w:spacing w:val="3"/>
        </w:rPr>
        <w:t>单体建筑面积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1000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平方米以上的仿古建筑</w:t>
      </w:r>
      <w:r>
        <w:rPr>
          <w:rFonts w:ascii="FangSong" w:hAnsi="FangSong" w:eastAsia="FangSong" w:cs="FangSong"/>
          <w:sz w:val="31"/>
          <w:szCs w:val="31"/>
          <w:spacing w:val="2"/>
        </w:rPr>
        <w:t>；</w:t>
      </w:r>
      <w:r>
        <w:rPr>
          <w:rFonts w:ascii="FangSong" w:hAnsi="FangSong" w:eastAsia="FangSong" w:cs="FangSong"/>
          <w:sz w:val="31"/>
          <w:szCs w:val="31"/>
        </w:rPr>
        <w:t xml:space="preserve">        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2.</w:t>
      </w:r>
      <w:r>
        <w:rPr>
          <w:rFonts w:ascii="FangSong" w:hAnsi="FangSong" w:eastAsia="FangSong" w:cs="FangSong"/>
          <w:sz w:val="31"/>
          <w:szCs w:val="31"/>
          <w:spacing w:val="-1"/>
        </w:rPr>
        <w:t>绿</w:t>
      </w:r>
      <w:r>
        <w:rPr>
          <w:rFonts w:ascii="FangSong" w:hAnsi="FangSong" w:eastAsia="FangSong" w:cs="FangSong"/>
          <w:sz w:val="31"/>
          <w:szCs w:val="31"/>
        </w:rPr>
        <w:t>化面积在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30000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平方米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(含)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以上且工程造价在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2000</w:t>
      </w:r>
    </w:p>
    <w:p>
      <w:pPr>
        <w:sectPr>
          <w:footerReference w:type="default" r:id="rId5"/>
          <w:pgSz w:w="11907" w:h="16839"/>
          <w:pgMar w:top="1431" w:right="1644" w:bottom="1419" w:left="1659" w:header="0" w:footer="1252" w:gutter="0"/>
        </w:sectPr>
        <w:rPr/>
      </w:pPr>
    </w:p>
    <w:p>
      <w:pPr>
        <w:spacing w:line="331" w:lineRule="auto"/>
        <w:rPr>
          <w:rFonts w:ascii="Arial"/>
          <w:sz w:val="21"/>
        </w:rPr>
      </w:pPr>
      <w:r/>
    </w:p>
    <w:p>
      <w:pPr>
        <w:ind w:left="8" w:right="47" w:hanging="5"/>
        <w:spacing w:before="101"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万元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(含)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以上，其中建安合同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500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万以上的新建综合性园林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工</w:t>
      </w:r>
      <w:r>
        <w:rPr>
          <w:rFonts w:ascii="FangSong" w:hAnsi="FangSong" w:eastAsia="FangSong" w:cs="FangSong"/>
          <w:sz w:val="31"/>
          <w:szCs w:val="31"/>
          <w:spacing w:val="-5"/>
        </w:rPr>
        <w:t>程。</w:t>
      </w:r>
    </w:p>
    <w:p>
      <w:pPr>
        <w:ind w:left="654"/>
        <w:spacing w:line="23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20"/>
        </w:rPr>
        <w:t>(七)</w:t>
      </w:r>
      <w:r>
        <w:rPr>
          <w:rFonts w:ascii="KaiTi" w:hAnsi="KaiTi" w:eastAsia="KaiTi" w:cs="KaiTi"/>
          <w:sz w:val="31"/>
          <w:szCs w:val="31"/>
          <w:spacing w:val="20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20"/>
        </w:rPr>
        <w:t>农村住房工</w:t>
      </w:r>
      <w:r>
        <w:rPr>
          <w:rFonts w:ascii="KaiTi" w:hAnsi="KaiTi" w:eastAsia="KaiTi" w:cs="KaiTi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程</w:t>
      </w:r>
    </w:p>
    <w:p>
      <w:pPr>
        <w:ind w:left="8" w:right="47" w:firstLine="718"/>
        <w:spacing w:before="274"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统一规划、</w:t>
      </w:r>
      <w:r>
        <w:rPr>
          <w:rFonts w:ascii="FangSong" w:hAnsi="FangSong" w:eastAsia="FangSong" w:cs="FangSong"/>
          <w:sz w:val="31"/>
          <w:szCs w:val="31"/>
          <w:spacing w:val="1"/>
        </w:rPr>
        <w:t>连片建设的村镇住宅群，且建筑面积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10000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方</w:t>
      </w:r>
      <w:r>
        <w:rPr>
          <w:rFonts w:ascii="FangSong" w:hAnsi="FangSong" w:eastAsia="FangSong" w:cs="FangSong"/>
          <w:sz w:val="31"/>
          <w:szCs w:val="31"/>
          <w:spacing w:val="1"/>
        </w:rPr>
        <w:t>米以上。</w:t>
      </w:r>
    </w:p>
    <w:p>
      <w:pPr>
        <w:ind w:right="47" w:firstLine="640"/>
        <w:spacing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上</w:t>
      </w:r>
      <w:r>
        <w:rPr>
          <w:rFonts w:ascii="FangSong" w:hAnsi="FangSong" w:eastAsia="FangSong" w:cs="FangSong"/>
          <w:sz w:val="31"/>
          <w:szCs w:val="31"/>
          <w:spacing w:val="8"/>
        </w:rPr>
        <w:t>述</w:t>
      </w:r>
      <w:r>
        <w:rPr>
          <w:rFonts w:ascii="FangSong" w:hAnsi="FangSong" w:eastAsia="FangSong" w:cs="FangSong"/>
          <w:sz w:val="31"/>
          <w:szCs w:val="31"/>
          <w:spacing w:val="7"/>
        </w:rPr>
        <w:t>条件以外的工业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(含能源)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、交通、市政、水利等专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业</w:t>
      </w:r>
      <w:r>
        <w:rPr>
          <w:rFonts w:ascii="FangSong" w:hAnsi="FangSong" w:eastAsia="FangSong" w:cs="FangSong"/>
          <w:sz w:val="31"/>
          <w:szCs w:val="31"/>
          <w:spacing w:val="8"/>
        </w:rPr>
        <w:t>工程，应达到国家规定的大中型项目标准。</w:t>
      </w:r>
    </w:p>
    <w:p>
      <w:pPr>
        <w:ind w:left="649"/>
        <w:spacing w:before="1" w:line="229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</w:rPr>
        <w:t>四、</w:t>
      </w:r>
      <w:r>
        <w:rPr>
          <w:rFonts w:ascii="SimHei" w:hAnsi="SimHei" w:eastAsia="SimHei" w:cs="SimHei"/>
          <w:sz w:val="31"/>
          <w:szCs w:val="31"/>
          <w:spacing w:val="10"/>
        </w:rPr>
        <w:t>参</w:t>
      </w:r>
      <w:r>
        <w:rPr>
          <w:rFonts w:ascii="SimHei" w:hAnsi="SimHei" w:eastAsia="SimHei" w:cs="SimHei"/>
          <w:sz w:val="31"/>
          <w:szCs w:val="31"/>
          <w:spacing w:val="7"/>
        </w:rPr>
        <w:t>加钱江杯考核认定的项目划分必须符合以下规定：</w:t>
      </w:r>
    </w:p>
    <w:p>
      <w:pPr>
        <w:ind w:firstLine="655"/>
        <w:spacing w:before="285" w:line="39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.</w:t>
      </w:r>
      <w:r>
        <w:rPr>
          <w:rFonts w:ascii="FangSong" w:hAnsi="FangSong" w:eastAsia="FangSong" w:cs="FangSong"/>
          <w:sz w:val="31"/>
          <w:szCs w:val="31"/>
          <w:spacing w:val="10"/>
        </w:rPr>
        <w:t>房屋建筑和市政基础设施工程以项目立项批准文件或施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工</w:t>
      </w:r>
      <w:r>
        <w:rPr>
          <w:rFonts w:ascii="FangSong" w:hAnsi="FangSong" w:eastAsia="FangSong" w:cs="FangSong"/>
          <w:sz w:val="31"/>
          <w:szCs w:val="31"/>
          <w:spacing w:val="8"/>
        </w:rPr>
        <w:t>许可证为标准，不得人为地任意分割或合并，以确保工程结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构的连续性和功能完整性。对于城</w:t>
      </w:r>
      <w:r>
        <w:rPr>
          <w:rFonts w:ascii="FangSong" w:hAnsi="FangSong" w:eastAsia="FangSong" w:cs="FangSong"/>
          <w:sz w:val="31"/>
          <w:szCs w:val="31"/>
          <w:spacing w:val="-1"/>
        </w:rPr>
        <w:t>市轨道交通工程，根据实际，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可</w:t>
      </w:r>
      <w:r>
        <w:rPr>
          <w:rFonts w:ascii="FangSong" w:hAnsi="FangSong" w:eastAsia="FangSong" w:cs="FangSong"/>
          <w:sz w:val="31"/>
          <w:szCs w:val="31"/>
          <w:spacing w:val="8"/>
        </w:rPr>
        <w:t>按一个或连续多个站点、区间进行申报。</w:t>
      </w:r>
    </w:p>
    <w:p>
      <w:pPr>
        <w:ind w:right="47" w:firstLine="642"/>
        <w:spacing w:before="1" w:line="39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条状建筑因超长而设置变形缝的不论有几个单元组成，</w:t>
      </w:r>
      <w:r>
        <w:rPr>
          <w:rFonts w:ascii="FangSong" w:hAnsi="FangSong" w:eastAsia="FangSong" w:cs="FangSong"/>
          <w:sz w:val="31"/>
          <w:szCs w:val="31"/>
          <w:spacing w:val="4"/>
        </w:rPr>
        <w:t>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应视</w:t>
      </w:r>
      <w:r>
        <w:rPr>
          <w:rFonts w:ascii="FangSong" w:hAnsi="FangSong" w:eastAsia="FangSong" w:cs="FangSong"/>
          <w:sz w:val="31"/>
          <w:szCs w:val="31"/>
          <w:spacing w:val="8"/>
        </w:rPr>
        <w:t>作</w:t>
      </w:r>
      <w:r>
        <w:rPr>
          <w:rFonts w:ascii="FangSong" w:hAnsi="FangSong" w:eastAsia="FangSong" w:cs="FangSong"/>
          <w:sz w:val="31"/>
          <w:szCs w:val="31"/>
          <w:spacing w:val="7"/>
        </w:rPr>
        <w:t>一个单位工程；主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(塔)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楼与裙房相连，不论是否设置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变</w:t>
      </w:r>
      <w:r>
        <w:rPr>
          <w:rFonts w:ascii="FangSong" w:hAnsi="FangSong" w:eastAsia="FangSong" w:cs="FangSong"/>
          <w:sz w:val="31"/>
          <w:szCs w:val="31"/>
          <w:spacing w:val="7"/>
        </w:rPr>
        <w:t>形缝，应视作一个单位工程。</w:t>
      </w:r>
    </w:p>
    <w:p>
      <w:pPr>
        <w:ind w:left="5" w:right="47" w:firstLine="619"/>
        <w:spacing w:before="3"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2.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交通工程以工程初步设计批复文件为准，对主体工程</w:t>
      </w:r>
      <w:r>
        <w:rPr>
          <w:rFonts w:ascii="FangSong" w:hAnsi="FangSong" w:eastAsia="FangSong" w:cs="FangSong"/>
          <w:sz w:val="31"/>
          <w:szCs w:val="31"/>
          <w:spacing w:val="6"/>
        </w:rPr>
        <w:t>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可任意分割，以确保工程项目的连续性和功能完整性。对含</w:t>
      </w:r>
      <w:r>
        <w:rPr>
          <w:rFonts w:ascii="FangSong" w:hAnsi="FangSong" w:eastAsia="FangSong" w:cs="FangSong"/>
          <w:sz w:val="31"/>
          <w:szCs w:val="31"/>
          <w:spacing w:val="5"/>
        </w:rPr>
        <w:t>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型</w:t>
      </w:r>
      <w:r>
        <w:rPr>
          <w:rFonts w:ascii="FangSong" w:hAnsi="FangSong" w:eastAsia="FangSong" w:cs="FangSong"/>
          <w:sz w:val="31"/>
          <w:szCs w:val="31"/>
          <w:spacing w:val="10"/>
        </w:rPr>
        <w:t>枢</w:t>
      </w:r>
      <w:r>
        <w:rPr>
          <w:rFonts w:ascii="FangSong" w:hAnsi="FangSong" w:eastAsia="FangSong" w:cs="FangSong"/>
          <w:sz w:val="31"/>
          <w:szCs w:val="31"/>
          <w:spacing w:val="7"/>
        </w:rPr>
        <w:t>纽、复杂互通、跨江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(海、河)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特大桥、高架桥、长隧道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等多种类型或具有多种功能的复杂工程，根据实际，可按一</w:t>
      </w:r>
      <w:r>
        <w:rPr>
          <w:rFonts w:ascii="FangSong" w:hAnsi="FangSong" w:eastAsia="FangSong" w:cs="FangSong"/>
          <w:sz w:val="31"/>
          <w:szCs w:val="31"/>
          <w:spacing w:val="5"/>
        </w:rPr>
        <w:t>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或</w:t>
      </w:r>
      <w:r>
        <w:rPr>
          <w:rFonts w:ascii="FangSong" w:hAnsi="FangSong" w:eastAsia="FangSong" w:cs="FangSong"/>
          <w:sz w:val="31"/>
          <w:szCs w:val="31"/>
          <w:spacing w:val="7"/>
        </w:rPr>
        <w:t>连续多个施工标段进行申报。</w:t>
      </w:r>
    </w:p>
    <w:p>
      <w:pPr>
        <w:sectPr>
          <w:footerReference w:type="default" r:id="rId6"/>
          <w:pgSz w:w="11907" w:h="16839"/>
          <w:pgMar w:top="1431" w:right="1602" w:bottom="1418" w:left="1666" w:header="0" w:footer="1252" w:gutter="0"/>
        </w:sectPr>
        <w:rPr/>
      </w:pPr>
    </w:p>
    <w:p>
      <w:pPr>
        <w:spacing w:line="348" w:lineRule="auto"/>
        <w:rPr>
          <w:rFonts w:ascii="Arial"/>
          <w:sz w:val="21"/>
        </w:rPr>
      </w:pPr>
      <w:r/>
    </w:p>
    <w:p>
      <w:pPr>
        <w:ind w:left="7" w:firstLine="630"/>
        <w:spacing w:before="101"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3.</w:t>
      </w:r>
      <w:r>
        <w:rPr>
          <w:rFonts w:ascii="FangSong" w:hAnsi="FangSong" w:eastAsia="FangSong" w:cs="FangSong"/>
          <w:sz w:val="31"/>
          <w:szCs w:val="31"/>
          <w:spacing w:val="11"/>
        </w:rPr>
        <w:t>水利工程以工程初步设计批复文件为准，对主体工程</w:t>
      </w:r>
      <w:r>
        <w:rPr>
          <w:rFonts w:ascii="FangSong" w:hAnsi="FangSong" w:eastAsia="FangSong" w:cs="FangSong"/>
          <w:sz w:val="31"/>
          <w:szCs w:val="31"/>
          <w:spacing w:val="10"/>
        </w:rPr>
        <w:t>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可</w:t>
      </w:r>
      <w:r>
        <w:rPr>
          <w:rFonts w:ascii="FangSong" w:hAnsi="FangSong" w:eastAsia="FangSong" w:cs="FangSong"/>
          <w:sz w:val="31"/>
          <w:szCs w:val="31"/>
          <w:spacing w:val="8"/>
        </w:rPr>
        <w:t>任意分割或合并，以确保工程完整性和连续性。对含大坝、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闸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(泵)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、堤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(塘)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、隧洞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(管道)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等多种类型或具有多种功能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的</w:t>
      </w:r>
      <w:r>
        <w:rPr>
          <w:rFonts w:ascii="FangSong" w:hAnsi="FangSong" w:eastAsia="FangSong" w:cs="FangSong"/>
          <w:sz w:val="31"/>
          <w:szCs w:val="31"/>
          <w:spacing w:val="8"/>
        </w:rPr>
        <w:t>复杂工程，根据工程实际，可按一个或多个施工标段进行申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报。</w:t>
      </w:r>
    </w:p>
    <w:p>
      <w:pPr>
        <w:ind w:left="630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4.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能源工程以项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目核准批复文件或项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目开工批复文件为</w:t>
      </w:r>
    </w:p>
    <w:p>
      <w:pPr>
        <w:ind w:left="25" w:hanging="14"/>
        <w:spacing w:before="266"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准，不得人为任意拆分或合并；除构筑物以外，必须包括安</w:t>
      </w:r>
      <w:r>
        <w:rPr>
          <w:rFonts w:ascii="FangSong" w:hAnsi="FangSong" w:eastAsia="FangSong" w:cs="FangSong"/>
          <w:sz w:val="31"/>
          <w:szCs w:val="31"/>
          <w:spacing w:val="6"/>
        </w:rPr>
        <w:t>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的主要生产设备，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以</w:t>
      </w:r>
      <w:r>
        <w:rPr>
          <w:rFonts w:ascii="FangSong" w:hAnsi="FangSong" w:eastAsia="FangSong" w:cs="FangSong"/>
          <w:sz w:val="31"/>
          <w:szCs w:val="31"/>
        </w:rPr>
        <w:t>确保工程功能的完整性。</w:t>
      </w:r>
    </w:p>
    <w:p>
      <w:pPr>
        <w:ind w:firstLine="645"/>
        <w:spacing w:line="39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五、钱江杯考核认定项目的承建单位、主要参建单位应符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合</w:t>
      </w:r>
      <w:r>
        <w:rPr>
          <w:rFonts w:ascii="SimHei" w:hAnsi="SimHei" w:eastAsia="SimHei" w:cs="SimHei"/>
          <w:sz w:val="31"/>
          <w:szCs w:val="31"/>
          <w:spacing w:val="4"/>
        </w:rPr>
        <w:t>下列条件：</w:t>
      </w:r>
    </w:p>
    <w:p>
      <w:pPr>
        <w:ind w:left="631" w:right="129" w:firstLine="30"/>
        <w:spacing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.</w:t>
      </w:r>
      <w:r>
        <w:rPr>
          <w:rFonts w:ascii="FangSong" w:hAnsi="FangSong" w:eastAsia="FangSong" w:cs="FangSong"/>
          <w:sz w:val="31"/>
          <w:szCs w:val="31"/>
          <w:spacing w:val="5"/>
        </w:rPr>
        <w:t>在浙江省内注册或已办理进浙备案手续的建筑业企业；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2.</w:t>
      </w:r>
      <w:r>
        <w:rPr>
          <w:rFonts w:ascii="FangSong" w:hAnsi="FangSong" w:eastAsia="FangSong" w:cs="FangSong"/>
          <w:sz w:val="31"/>
          <w:szCs w:val="31"/>
          <w:spacing w:val="5"/>
        </w:rPr>
        <w:t>承建单位：</w:t>
      </w:r>
    </w:p>
    <w:p>
      <w:pPr>
        <w:ind w:left="6" w:firstLine="641"/>
        <w:spacing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9"/>
        </w:rPr>
        <w:t>1</w:t>
      </w:r>
      <w:r>
        <w:rPr>
          <w:rFonts w:ascii="FangSong" w:hAnsi="FangSong" w:eastAsia="FangSong" w:cs="FangSong"/>
          <w:sz w:val="31"/>
          <w:szCs w:val="31"/>
          <w:spacing w:val="19"/>
        </w:rPr>
        <w:t>)</w:t>
      </w:r>
      <w:r>
        <w:rPr>
          <w:rFonts w:ascii="FangSong" w:hAnsi="FangSong" w:eastAsia="FangSong" w:cs="FangSong"/>
          <w:sz w:val="31"/>
          <w:szCs w:val="31"/>
          <w:spacing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与建设单位签订工程总承包合同或施工承包合同的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独</w:t>
      </w:r>
      <w:r>
        <w:rPr>
          <w:rFonts w:ascii="FangSong" w:hAnsi="FangSong" w:eastAsia="FangSong" w:cs="FangSong"/>
          <w:sz w:val="31"/>
          <w:szCs w:val="31"/>
          <w:spacing w:val="5"/>
        </w:rPr>
        <w:t>立</w:t>
      </w:r>
      <w:r>
        <w:rPr>
          <w:rFonts w:ascii="FangSong" w:hAnsi="FangSong" w:eastAsia="FangSong" w:cs="FangSong"/>
          <w:sz w:val="31"/>
          <w:szCs w:val="31"/>
          <w:spacing w:val="4"/>
        </w:rPr>
        <w:t>法人单位；</w:t>
      </w:r>
    </w:p>
    <w:p>
      <w:pPr>
        <w:ind w:left="648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</w:t>
      </w:r>
      <w:r>
        <w:rPr>
          <w:rFonts w:ascii="FangSong" w:hAnsi="FangSong" w:eastAsia="FangSong" w:cs="FangSong"/>
          <w:sz w:val="31"/>
          <w:szCs w:val="31"/>
          <w:spacing w:val="7"/>
        </w:rPr>
        <w:t>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公共建筑和住宅工程中，承建主体结构的施工企业</w:t>
      </w:r>
      <w:r>
        <w:rPr>
          <w:rFonts w:ascii="FangSong" w:hAnsi="FangSong" w:eastAsia="FangSong" w:cs="FangSong"/>
          <w:sz w:val="31"/>
          <w:szCs w:val="31"/>
          <w:spacing w:val="6"/>
        </w:rPr>
        <w:t>；</w:t>
      </w:r>
    </w:p>
    <w:p>
      <w:pPr>
        <w:ind w:left="24" w:firstLine="623"/>
        <w:spacing w:before="285"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8"/>
        </w:rPr>
        <w:t>3</w:t>
      </w:r>
      <w:r>
        <w:rPr>
          <w:rFonts w:ascii="FangSong" w:hAnsi="FangSong" w:eastAsia="FangSong" w:cs="FangSong"/>
          <w:sz w:val="31"/>
          <w:szCs w:val="31"/>
          <w:spacing w:val="18"/>
        </w:rPr>
        <w:t>)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工业工程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(含能源工程)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应为安装主要生产设备和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管线</w:t>
      </w:r>
      <w:r>
        <w:rPr>
          <w:rFonts w:ascii="FangSong" w:hAnsi="FangSong" w:eastAsia="FangSong" w:cs="FangSong"/>
          <w:sz w:val="31"/>
          <w:szCs w:val="31"/>
          <w:spacing w:val="5"/>
        </w:rPr>
        <w:t>、仪器仪表的施工企业；</w:t>
      </w:r>
    </w:p>
    <w:p>
      <w:pPr>
        <w:ind w:left="15" w:firstLine="633"/>
        <w:spacing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4</w:t>
      </w:r>
      <w:r>
        <w:rPr>
          <w:rFonts w:ascii="FangSong" w:hAnsi="FangSong" w:eastAsia="FangSong" w:cs="FangSong"/>
          <w:sz w:val="31"/>
          <w:szCs w:val="31"/>
          <w:spacing w:val="13"/>
        </w:rPr>
        <w:t>)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交通、水利、市政、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园林工程中，承建主体工程或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工</w:t>
      </w:r>
      <w:r>
        <w:rPr>
          <w:rFonts w:ascii="FangSong" w:hAnsi="FangSong" w:eastAsia="FangSong" w:cs="FangSong"/>
          <w:sz w:val="31"/>
          <w:szCs w:val="31"/>
          <w:spacing w:val="6"/>
        </w:rPr>
        <w:t>程主要部位的施工企业；</w:t>
      </w:r>
    </w:p>
    <w:p>
      <w:pPr>
        <w:ind w:left="648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5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5</w:t>
      </w:r>
      <w:r>
        <w:rPr>
          <w:rFonts w:ascii="FangSong" w:hAnsi="FangSong" w:eastAsia="FangSong" w:cs="FangSong"/>
          <w:sz w:val="31"/>
          <w:szCs w:val="31"/>
          <w:spacing w:val="15"/>
        </w:rPr>
        <w:t>)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交通工程承建单位合同价应在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亿元以上，水利工</w:t>
      </w:r>
    </w:p>
    <w:p>
      <w:pPr>
        <w:sectPr>
          <w:footerReference w:type="default" r:id="rId7"/>
          <w:pgSz w:w="11907" w:h="16839"/>
          <w:pgMar w:top="1431" w:right="1650" w:bottom="1419" w:left="1659" w:header="0" w:footer="1252" w:gutter="0"/>
        </w:sectPr>
        <w:rPr/>
      </w:pPr>
    </w:p>
    <w:p>
      <w:pPr>
        <w:spacing w:line="332" w:lineRule="auto"/>
        <w:rPr>
          <w:rFonts w:ascii="Arial"/>
          <w:sz w:val="21"/>
        </w:rPr>
      </w:pPr>
      <w:r/>
    </w:p>
    <w:p>
      <w:pPr>
        <w:ind w:left="3"/>
        <w:spacing w:before="10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程承建单位合同</w:t>
      </w:r>
      <w:r>
        <w:rPr>
          <w:rFonts w:ascii="FangSong" w:hAnsi="FangSong" w:eastAsia="FangSong" w:cs="FangSong"/>
          <w:sz w:val="31"/>
          <w:szCs w:val="31"/>
          <w:spacing w:val="3"/>
        </w:rPr>
        <w:t>价</w:t>
      </w:r>
      <w:r>
        <w:rPr>
          <w:rFonts w:ascii="FangSong" w:hAnsi="FangSong" w:eastAsia="FangSong" w:cs="FangSong"/>
          <w:sz w:val="31"/>
          <w:szCs w:val="31"/>
          <w:spacing w:val="2"/>
        </w:rPr>
        <w:t>应在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3000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万元以上。</w:t>
      </w:r>
    </w:p>
    <w:p>
      <w:pPr>
        <w:ind w:left="5" w:firstLine="625"/>
        <w:spacing w:before="286"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3.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主要参建单位除工程规模超过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亿且施工难</w:t>
      </w:r>
      <w:r>
        <w:rPr>
          <w:rFonts w:ascii="FangSong" w:hAnsi="FangSong" w:eastAsia="FangSong" w:cs="FangSong"/>
          <w:sz w:val="31"/>
          <w:szCs w:val="31"/>
        </w:rPr>
        <w:t>度较高、施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工工艺复杂的大型建设工程外，一项工程不超过两个单位，</w:t>
      </w:r>
      <w:r>
        <w:rPr>
          <w:rFonts w:ascii="FangSong" w:hAnsi="FangSong" w:eastAsia="FangSong" w:cs="FangSong"/>
          <w:sz w:val="31"/>
          <w:szCs w:val="31"/>
          <w:spacing w:val="5"/>
        </w:rPr>
        <w:t>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必须具备下列条件：</w:t>
      </w:r>
    </w:p>
    <w:p>
      <w:pPr>
        <w:ind w:left="641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1</w:t>
      </w:r>
      <w:r>
        <w:rPr>
          <w:rFonts w:ascii="FangSong" w:hAnsi="FangSong" w:eastAsia="FangSong" w:cs="FangSong"/>
          <w:sz w:val="31"/>
          <w:szCs w:val="31"/>
          <w:spacing w:val="14"/>
        </w:rPr>
        <w:t>)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与主承建单位签订分包合同的独立法人单位；</w:t>
      </w:r>
    </w:p>
    <w:p>
      <w:pPr>
        <w:ind w:left="641"/>
        <w:spacing w:before="229" w:line="4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  <w:position w:val="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0"/>
          <w:position w:val="2"/>
        </w:rPr>
        <w:t>2</w:t>
      </w:r>
      <w:r>
        <w:rPr>
          <w:rFonts w:ascii="FangSong" w:hAnsi="FangSong" w:eastAsia="FangSong" w:cs="FangSong"/>
          <w:sz w:val="31"/>
          <w:szCs w:val="31"/>
          <w:spacing w:val="10"/>
          <w:position w:val="2"/>
        </w:rPr>
        <w:t>)</w:t>
      </w:r>
      <w:r>
        <w:rPr>
          <w:rFonts w:ascii="FangSong" w:hAnsi="FangSong" w:eastAsia="FangSong" w:cs="FangSong"/>
          <w:sz w:val="31"/>
          <w:szCs w:val="31"/>
          <w:spacing w:val="10"/>
          <w:position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  <w:position w:val="2"/>
        </w:rPr>
        <w:t>完成的建安合同造价占总建安合同造价</w:t>
      </w:r>
      <w:r>
        <w:rPr>
          <w:rFonts w:ascii="FangSong" w:hAnsi="FangSong" w:eastAsia="FangSong" w:cs="FangSong"/>
          <w:sz w:val="31"/>
          <w:szCs w:val="31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  <w:position w:val="2"/>
        </w:rPr>
        <w:t>20%</w:t>
      </w:r>
      <w:r>
        <w:rPr>
          <w:rFonts w:ascii="FangSong" w:hAnsi="FangSong" w:eastAsia="FangSong" w:cs="FangSong"/>
          <w:sz w:val="31"/>
          <w:szCs w:val="31"/>
          <w:spacing w:val="10"/>
          <w:position w:val="2"/>
        </w:rPr>
        <w:t>以上；</w:t>
      </w:r>
    </w:p>
    <w:p>
      <w:pPr>
        <w:ind w:firstLine="641"/>
        <w:spacing w:before="295" w:line="39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8"/>
        </w:rPr>
        <w:t>3</w:t>
      </w:r>
      <w:r>
        <w:rPr>
          <w:rFonts w:ascii="FangSong" w:hAnsi="FangSong" w:eastAsia="FangSong" w:cs="FangSong"/>
          <w:sz w:val="31"/>
          <w:szCs w:val="31"/>
          <w:spacing w:val="18"/>
        </w:rPr>
        <w:t>)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参建住宅小区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(农村住房工程)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的建筑业企业，如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完成的建安合同造价低于总建安合同造价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20%</w:t>
      </w:r>
      <w:r>
        <w:rPr>
          <w:rFonts w:ascii="FangSong" w:hAnsi="FangSong" w:eastAsia="FangSong" w:cs="FangSong"/>
          <w:sz w:val="31"/>
          <w:szCs w:val="31"/>
          <w:spacing w:val="4"/>
        </w:rPr>
        <w:t>，其完成的装饰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装修工程合</w:t>
      </w:r>
      <w:r>
        <w:rPr>
          <w:rFonts w:ascii="FangSong" w:hAnsi="FangSong" w:eastAsia="FangSong" w:cs="FangSong"/>
          <w:sz w:val="31"/>
          <w:szCs w:val="31"/>
          <w:spacing w:val="6"/>
        </w:rPr>
        <w:t>同</w:t>
      </w:r>
      <w:r>
        <w:rPr>
          <w:rFonts w:ascii="FangSong" w:hAnsi="FangSong" w:eastAsia="FangSong" w:cs="FangSong"/>
          <w:sz w:val="31"/>
          <w:szCs w:val="31"/>
          <w:spacing w:val="4"/>
        </w:rPr>
        <w:t>造价应在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800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万元以上，或完成的安装工程合同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造价应在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万元以上；参建能源工程的建筑业企业，如完成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的建安合同造价低于总建安合同造价的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20%</w:t>
      </w:r>
      <w:r>
        <w:rPr>
          <w:rFonts w:ascii="FangSong" w:hAnsi="FangSong" w:eastAsia="FangSong" w:cs="FangSong"/>
          <w:sz w:val="31"/>
          <w:szCs w:val="31"/>
          <w:spacing w:val="4"/>
        </w:rPr>
        <w:t>，其完成的建筑施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工</w:t>
      </w:r>
      <w:r>
        <w:rPr>
          <w:rFonts w:ascii="FangSong" w:hAnsi="FangSong" w:eastAsia="FangSong" w:cs="FangSong"/>
          <w:sz w:val="31"/>
          <w:szCs w:val="31"/>
          <w:spacing w:val="1"/>
        </w:rPr>
        <w:t>合同造价应在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亿元以上。</w:t>
      </w:r>
    </w:p>
    <w:p>
      <w:pPr>
        <w:ind w:firstLine="641"/>
        <w:spacing w:before="16"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9"/>
        </w:rPr>
        <w:t>4</w:t>
      </w:r>
      <w:r>
        <w:rPr>
          <w:rFonts w:ascii="FangSong" w:hAnsi="FangSong" w:eastAsia="FangSong" w:cs="FangSong"/>
          <w:sz w:val="31"/>
          <w:szCs w:val="31"/>
          <w:spacing w:val="19"/>
        </w:rPr>
        <w:t>)</w:t>
      </w:r>
      <w:r>
        <w:rPr>
          <w:rFonts w:ascii="FangSong" w:hAnsi="FangSong" w:eastAsia="FangSong" w:cs="FangSong"/>
          <w:sz w:val="31"/>
          <w:szCs w:val="31"/>
          <w:spacing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被评定为本地区最高质量奖参建单位和浙江省建筑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施</w:t>
      </w:r>
      <w:r>
        <w:rPr>
          <w:rFonts w:ascii="FangSong" w:hAnsi="FangSong" w:eastAsia="FangSong" w:cs="FangSong"/>
          <w:sz w:val="31"/>
          <w:szCs w:val="31"/>
          <w:spacing w:val="8"/>
        </w:rPr>
        <w:t>工安全生产标准化管理优良工地参建单位。</w:t>
      </w:r>
    </w:p>
    <w:p>
      <w:pPr>
        <w:ind w:firstLine="640"/>
        <w:spacing w:before="3"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六、</w:t>
      </w:r>
      <w:r>
        <w:rPr>
          <w:rFonts w:ascii="FangSong" w:hAnsi="FangSong" w:eastAsia="FangSong" w:cs="FangSong"/>
          <w:sz w:val="31"/>
          <w:szCs w:val="31"/>
          <w:spacing w:val="8"/>
        </w:rPr>
        <w:t>对于已经获得钱江杯的项目，若发现不符合钱江杯</w:t>
      </w:r>
      <w:r>
        <w:rPr>
          <w:rFonts w:ascii="FangSong" w:hAnsi="FangSong" w:eastAsia="FangSong" w:cs="FangSong"/>
          <w:sz w:val="31"/>
          <w:szCs w:val="31"/>
          <w:spacing w:val="6"/>
        </w:rPr>
        <w:t>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核</w:t>
      </w:r>
      <w:r>
        <w:rPr>
          <w:rFonts w:ascii="FangSong" w:hAnsi="FangSong" w:eastAsia="FangSong" w:cs="FangSong"/>
          <w:sz w:val="31"/>
          <w:szCs w:val="31"/>
          <w:spacing w:val="8"/>
        </w:rPr>
        <w:t>认定细则或出现异常不均匀沉降、结构性裂缝、严重影响使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用</w:t>
      </w:r>
      <w:r>
        <w:rPr>
          <w:rFonts w:ascii="FangSong" w:hAnsi="FangSong" w:eastAsia="FangSong" w:cs="FangSong"/>
          <w:sz w:val="31"/>
          <w:szCs w:val="31"/>
          <w:spacing w:val="8"/>
        </w:rPr>
        <w:t>功能等质量问题或发生严重违法、违纪、违规行为等情形，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省</w:t>
      </w:r>
      <w:r>
        <w:rPr>
          <w:rFonts w:ascii="FangSong" w:hAnsi="FangSong" w:eastAsia="FangSong" w:cs="FangSong"/>
          <w:sz w:val="31"/>
          <w:szCs w:val="31"/>
          <w:spacing w:val="8"/>
        </w:rPr>
        <w:t>建设厅应会同推荐单位进行调查核实，一经核实，收回钱江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杯</w:t>
      </w:r>
      <w:r>
        <w:rPr>
          <w:rFonts w:ascii="FangSong" w:hAnsi="FangSong" w:eastAsia="FangSong" w:cs="FangSong"/>
          <w:sz w:val="31"/>
          <w:szCs w:val="31"/>
          <w:spacing w:val="8"/>
        </w:rPr>
        <w:t>，并通报全省，相关企业三年内不得参加钱江杯考核认定。</w:t>
      </w:r>
    </w:p>
    <w:p>
      <w:pPr>
        <w:ind w:left="629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七、</w:t>
      </w:r>
      <w:r>
        <w:rPr>
          <w:rFonts w:ascii="FangSong" w:hAnsi="FangSong" w:eastAsia="FangSong" w:cs="FangSong"/>
          <w:sz w:val="31"/>
          <w:szCs w:val="31"/>
          <w:spacing w:val="5"/>
        </w:rPr>
        <w:t>园林工程、农村用房工程还需分别符合附件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、附</w:t>
      </w:r>
      <w:r>
        <w:rPr>
          <w:rFonts w:ascii="FangSong" w:hAnsi="FangSong" w:eastAsia="FangSong" w:cs="FangSong"/>
          <w:sz w:val="31"/>
          <w:szCs w:val="31"/>
          <w:spacing w:val="2"/>
        </w:rPr>
        <w:t>件</w:t>
      </w:r>
    </w:p>
    <w:p>
      <w:pPr>
        <w:sectPr>
          <w:footerReference w:type="default" r:id="rId8"/>
          <w:pgSz w:w="11907" w:h="16839"/>
          <w:pgMar w:top="1431" w:right="1650" w:bottom="1419" w:left="1666" w:header="0" w:footer="1252" w:gutter="0"/>
        </w:sectPr>
        <w:rPr/>
      </w:pPr>
    </w:p>
    <w:p>
      <w:pPr>
        <w:spacing w:line="331" w:lineRule="auto"/>
        <w:rPr>
          <w:rFonts w:ascii="Arial"/>
          <w:sz w:val="21"/>
        </w:rPr>
      </w:pPr>
      <w:r/>
    </w:p>
    <w:p>
      <w:pPr>
        <w:ind w:left="1"/>
        <w:spacing w:before="10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规定的条件。</w:t>
      </w:r>
    </w:p>
    <w:p>
      <w:pPr>
        <w:ind w:left="15" w:firstLine="622"/>
        <w:spacing w:before="284" w:line="39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八、</w:t>
      </w:r>
      <w:r>
        <w:rPr>
          <w:rFonts w:ascii="FangSong" w:hAnsi="FangSong" w:eastAsia="FangSong" w:cs="FangSong"/>
          <w:sz w:val="31"/>
          <w:szCs w:val="31"/>
          <w:spacing w:val="10"/>
        </w:rPr>
        <w:t>本细则适用于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年度浙江省建设工程钱江杯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(</w:t>
      </w:r>
      <w:r>
        <w:rPr>
          <w:rFonts w:ascii="FangSong" w:hAnsi="FangSong" w:eastAsia="FangSong" w:cs="FangSong"/>
          <w:sz w:val="31"/>
          <w:szCs w:val="31"/>
          <w:spacing w:val="6"/>
        </w:rPr>
        <w:t>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质</w:t>
      </w:r>
      <w:r>
        <w:rPr>
          <w:rFonts w:ascii="FangSong" w:hAnsi="FangSong" w:eastAsia="FangSong" w:cs="FangSong"/>
          <w:sz w:val="31"/>
          <w:szCs w:val="31"/>
          <w:spacing w:val="6"/>
        </w:rPr>
        <w:t>工</w:t>
      </w:r>
      <w:r>
        <w:rPr>
          <w:rFonts w:ascii="FangSong" w:hAnsi="FangSong" w:eastAsia="FangSong" w:cs="FangSong"/>
          <w:sz w:val="31"/>
          <w:szCs w:val="31"/>
          <w:spacing w:val="5"/>
        </w:rPr>
        <w:t>程)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考核认定工作。</w:t>
      </w:r>
    </w:p>
    <w:sectPr>
      <w:footerReference w:type="default" r:id="rId9"/>
      <w:pgSz w:w="11907" w:h="16839"/>
      <w:pgMar w:top="1431" w:right="1650" w:bottom="1418" w:left="1659" w:header="0" w:footer="125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2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5"/>
      </w:rPr>
      <w:t>—</w:t>
    </w:r>
    <w:r>
      <w:rPr>
        <w:rFonts w:ascii="Calibri" w:hAnsi="Calibri" w:eastAsia="Calibri" w:cs="Calibri"/>
        <w:sz w:val="18"/>
        <w:szCs w:val="18"/>
        <w:spacing w:val="5"/>
      </w:rPr>
      <w:t xml:space="preserve">  </w:t>
    </w:r>
    <w:r>
      <w:rPr>
        <w:rFonts w:ascii="Calibri" w:hAnsi="Calibri" w:eastAsia="Calibri" w:cs="Calibri"/>
        <w:sz w:val="18"/>
        <w:szCs w:val="18"/>
        <w:spacing w:val="5"/>
      </w:rPr>
      <w:t>6</w:t>
    </w:r>
    <w:r>
      <w:rPr>
        <w:rFonts w:ascii="Calibri" w:hAnsi="Calibri" w:eastAsia="Calibri" w:cs="Calibri"/>
        <w:sz w:val="18"/>
        <w:szCs w:val="18"/>
        <w:spacing w:val="5"/>
      </w:rPr>
      <w:t xml:space="preserve">  </w:t>
    </w:r>
    <w:r>
      <w:rPr>
        <w:rFonts w:ascii="Calibri" w:hAnsi="Calibri" w:eastAsia="Calibri" w:cs="Calibri"/>
        <w:sz w:val="18"/>
        <w:szCs w:val="18"/>
        <w:spacing w:val="4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0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5"/>
      </w:rPr>
      <w:t>—</w:t>
    </w:r>
    <w:r>
      <w:rPr>
        <w:rFonts w:ascii="Calibri" w:hAnsi="Calibri" w:eastAsia="Calibri" w:cs="Calibri"/>
        <w:sz w:val="18"/>
        <w:szCs w:val="18"/>
        <w:spacing w:val="3"/>
      </w:rPr>
      <w:t xml:space="preserve">  </w:t>
    </w:r>
    <w:r>
      <w:rPr>
        <w:rFonts w:ascii="Calibri" w:hAnsi="Calibri" w:eastAsia="Calibri" w:cs="Calibri"/>
        <w:sz w:val="18"/>
        <w:szCs w:val="18"/>
        <w:spacing w:val="3"/>
      </w:rPr>
      <w:t>7</w:t>
    </w:r>
    <w:r>
      <w:rPr>
        <w:rFonts w:ascii="Calibri" w:hAnsi="Calibri" w:eastAsia="Calibri" w:cs="Calibri"/>
        <w:sz w:val="18"/>
        <w:szCs w:val="18"/>
        <w:spacing w:val="3"/>
      </w:rPr>
      <w:t xml:space="preserve">  </w:t>
    </w:r>
    <w:r>
      <w:rPr>
        <w:rFonts w:ascii="Calibri" w:hAnsi="Calibri" w:eastAsia="Calibri" w:cs="Calibri"/>
        <w:sz w:val="18"/>
        <w:szCs w:val="18"/>
        <w:spacing w:val="3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2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5"/>
      </w:rPr>
      <w:t>—</w:t>
    </w:r>
    <w:r>
      <w:rPr>
        <w:rFonts w:ascii="Calibri" w:hAnsi="Calibri" w:eastAsia="Calibri" w:cs="Calibri"/>
        <w:sz w:val="18"/>
        <w:szCs w:val="18"/>
        <w:spacing w:val="5"/>
      </w:rPr>
      <w:t xml:space="preserve">  </w:t>
    </w:r>
    <w:r>
      <w:rPr>
        <w:rFonts w:ascii="Calibri" w:hAnsi="Calibri" w:eastAsia="Calibri" w:cs="Calibri"/>
        <w:sz w:val="18"/>
        <w:szCs w:val="18"/>
        <w:spacing w:val="5"/>
      </w:rPr>
      <w:t>8</w:t>
    </w:r>
    <w:r>
      <w:rPr>
        <w:rFonts w:ascii="Calibri" w:hAnsi="Calibri" w:eastAsia="Calibri" w:cs="Calibri"/>
        <w:sz w:val="18"/>
        <w:szCs w:val="18"/>
        <w:spacing w:val="5"/>
      </w:rPr>
      <w:t xml:space="preserve">  </w:t>
    </w:r>
    <w:r>
      <w:rPr>
        <w:rFonts w:ascii="Calibri" w:hAnsi="Calibri" w:eastAsia="Calibri" w:cs="Calibri"/>
        <w:sz w:val="18"/>
        <w:szCs w:val="18"/>
        <w:spacing w:val="4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2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5"/>
      </w:rPr>
      <w:t>—</w:t>
    </w:r>
    <w:r>
      <w:rPr>
        <w:rFonts w:ascii="Calibri" w:hAnsi="Calibri" w:eastAsia="Calibri" w:cs="Calibri"/>
        <w:sz w:val="18"/>
        <w:szCs w:val="18"/>
        <w:spacing w:val="3"/>
      </w:rPr>
      <w:t xml:space="preserve">  </w:t>
    </w:r>
    <w:r>
      <w:rPr>
        <w:rFonts w:ascii="Calibri" w:hAnsi="Calibri" w:eastAsia="Calibri" w:cs="Calibri"/>
        <w:sz w:val="18"/>
        <w:szCs w:val="18"/>
        <w:spacing w:val="3"/>
      </w:rPr>
      <w:t>9</w:t>
    </w:r>
    <w:r>
      <w:rPr>
        <w:rFonts w:ascii="Calibri" w:hAnsi="Calibri" w:eastAsia="Calibri" w:cs="Calibri"/>
        <w:sz w:val="18"/>
        <w:szCs w:val="18"/>
        <w:spacing w:val="3"/>
      </w:rPr>
      <w:t xml:space="preserve">  </w:t>
    </w:r>
    <w:r>
      <w:rPr>
        <w:rFonts w:ascii="Calibri" w:hAnsi="Calibri" w:eastAsia="Calibri" w:cs="Calibri"/>
        <w:sz w:val="18"/>
        <w:szCs w:val="18"/>
        <w:spacing w:val="3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2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6"/>
      </w:rPr>
      <w:t>—</w:t>
    </w:r>
    <w:r>
      <w:rPr>
        <w:rFonts w:ascii="Calibri" w:hAnsi="Calibri" w:eastAsia="Calibri" w:cs="Calibri"/>
        <w:sz w:val="18"/>
        <w:szCs w:val="18"/>
        <w:spacing w:val="4"/>
      </w:rPr>
      <w:t xml:space="preserve">  </w:t>
    </w:r>
    <w:r>
      <w:rPr>
        <w:rFonts w:ascii="Calibri" w:hAnsi="Calibri" w:eastAsia="Calibri" w:cs="Calibri"/>
        <w:sz w:val="18"/>
        <w:szCs w:val="18"/>
        <w:spacing w:val="4"/>
      </w:rPr>
      <w:t>10</w:t>
    </w:r>
    <w:r>
      <w:rPr>
        <w:rFonts w:ascii="Calibri" w:hAnsi="Calibri" w:eastAsia="Calibri" w:cs="Calibri"/>
        <w:sz w:val="18"/>
        <w:szCs w:val="18"/>
        <w:spacing w:val="4"/>
      </w:rPr>
      <w:t xml:space="preserve">  </w:t>
    </w:r>
    <w:r>
      <w:rPr>
        <w:rFonts w:ascii="Calibri" w:hAnsi="Calibri" w:eastAsia="Calibri" w:cs="Calibri"/>
        <w:sz w:val="18"/>
        <w:szCs w:val="18"/>
        <w:spacing w:val="4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7"/>
      <w:spacing w:line="181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1"/>
      </w:rPr>
      <w:t>—</w:t>
    </w:r>
    <w:r>
      <w:rPr>
        <w:rFonts w:ascii="Calibri" w:hAnsi="Calibri" w:eastAsia="Calibri" w:cs="Calibri"/>
        <w:sz w:val="18"/>
        <w:szCs w:val="18"/>
        <w:spacing w:val="-1"/>
      </w:rPr>
      <w:t xml:space="preserve">   </w:t>
    </w:r>
    <w:r>
      <w:rPr>
        <w:rFonts w:ascii="Calibri" w:hAnsi="Calibri" w:eastAsia="Calibri" w:cs="Calibri"/>
        <w:sz w:val="18"/>
        <w:szCs w:val="18"/>
        <w:spacing w:val="-1"/>
      </w:rPr>
      <w:t>11</w:t>
    </w:r>
    <w:r>
      <w:rPr>
        <w:rFonts w:ascii="Calibri" w:hAnsi="Calibri" w:eastAsia="Calibri" w:cs="Calibri"/>
        <w:sz w:val="18"/>
        <w:szCs w:val="18"/>
        <w:spacing w:val="-1"/>
      </w:rPr>
      <w:t xml:space="preserve"> </w:t>
    </w:r>
    <w:r>
      <w:rPr>
        <w:rFonts w:ascii="Calibri" w:hAnsi="Calibri" w:eastAsia="Calibri" w:cs="Calibri"/>
        <w:sz w:val="18"/>
        <w:szCs w:val="18"/>
      </w:rPr>
      <w:t xml:space="preserve"> </w:t>
    </w:r>
    <w:r>
      <w:rPr>
        <w:rFonts w:ascii="Calibri" w:hAnsi="Calibri" w:eastAsia="Calibri" w:cs="Calibri"/>
        <w:sz w:val="18"/>
        <w:szCs w:val="18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2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6"/>
      </w:rPr>
      <w:t>—</w:t>
    </w:r>
    <w:r>
      <w:rPr>
        <w:rFonts w:ascii="Calibri" w:hAnsi="Calibri" w:eastAsia="Calibri" w:cs="Calibri"/>
        <w:sz w:val="18"/>
        <w:szCs w:val="18"/>
        <w:spacing w:val="4"/>
      </w:rPr>
      <w:t xml:space="preserve">  </w:t>
    </w:r>
    <w:r>
      <w:rPr>
        <w:rFonts w:ascii="Calibri" w:hAnsi="Calibri" w:eastAsia="Calibri" w:cs="Calibri"/>
        <w:sz w:val="18"/>
        <w:szCs w:val="18"/>
        <w:spacing w:val="4"/>
      </w:rPr>
      <w:t>12</w:t>
    </w:r>
    <w:r>
      <w:rPr>
        <w:rFonts w:ascii="Calibri" w:hAnsi="Calibri" w:eastAsia="Calibri" w:cs="Calibri"/>
        <w:sz w:val="18"/>
        <w:szCs w:val="18"/>
        <w:spacing w:val="4"/>
      </w:rPr>
      <w:t xml:space="preserve">  </w:t>
    </w:r>
    <w:r>
      <w:rPr>
        <w:rFonts w:ascii="Calibri" w:hAnsi="Calibri" w:eastAsia="Calibri" w:cs="Calibri"/>
        <w:sz w:val="18"/>
        <w:szCs w:val="18"/>
        <w:spacing w:val="4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2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2"/>
      </w:rPr>
      <w:t>—</w:t>
    </w:r>
    <w:r>
      <w:rPr>
        <w:rFonts w:ascii="Calibri" w:hAnsi="Calibri" w:eastAsia="Calibri" w:cs="Calibri"/>
        <w:sz w:val="18"/>
        <w:szCs w:val="18"/>
        <w:spacing w:val="-2"/>
      </w:rPr>
      <w:t xml:space="preserve">   </w:t>
    </w:r>
    <w:r>
      <w:rPr>
        <w:rFonts w:ascii="Calibri" w:hAnsi="Calibri" w:eastAsia="Calibri" w:cs="Calibri"/>
        <w:sz w:val="18"/>
        <w:szCs w:val="18"/>
        <w:spacing w:val="-2"/>
      </w:rPr>
      <w:t>13</w:t>
    </w:r>
    <w:r>
      <w:rPr>
        <w:rFonts w:ascii="Calibri" w:hAnsi="Calibri" w:eastAsia="Calibri" w:cs="Calibri"/>
        <w:sz w:val="18"/>
        <w:szCs w:val="18"/>
        <w:spacing w:val="-2"/>
      </w:rPr>
      <w:t xml:space="preserve">  </w:t>
    </w:r>
    <w:r>
      <w:rPr>
        <w:rFonts w:ascii="Calibri" w:hAnsi="Calibri" w:eastAsia="Calibri" w:cs="Calibri"/>
        <w:sz w:val="18"/>
        <w:szCs w:val="18"/>
        <w:spacing w:val="-2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1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6"/>
      </w:rPr>
      <w:t>—</w:t>
    </w:r>
    <w:r>
      <w:rPr>
        <w:rFonts w:ascii="Calibri" w:hAnsi="Calibri" w:eastAsia="Calibri" w:cs="Calibri"/>
        <w:sz w:val="18"/>
        <w:szCs w:val="18"/>
        <w:spacing w:val="4"/>
      </w:rPr>
      <w:t xml:space="preserve">  </w:t>
    </w:r>
    <w:r>
      <w:rPr>
        <w:rFonts w:ascii="Calibri" w:hAnsi="Calibri" w:eastAsia="Calibri" w:cs="Calibri"/>
        <w:sz w:val="18"/>
        <w:szCs w:val="18"/>
        <w:spacing w:val="4"/>
      </w:rPr>
      <w:t>14</w:t>
    </w:r>
    <w:r>
      <w:rPr>
        <w:rFonts w:ascii="Calibri" w:hAnsi="Calibri" w:eastAsia="Calibri" w:cs="Calibri"/>
        <w:sz w:val="18"/>
        <w:szCs w:val="18"/>
        <w:spacing w:val="4"/>
      </w:rPr>
      <w:t xml:space="preserve">  </w:t>
    </w:r>
    <w:r>
      <w:rPr>
        <w:rFonts w:ascii="Calibri" w:hAnsi="Calibri" w:eastAsia="Calibri" w:cs="Calibri"/>
        <w:sz w:val="18"/>
        <w:szCs w:val="18"/>
        <w:spacing w:val="4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2023-04-14T16:11:00</vt:filetime>
  </op:property>
</op:Properties>
</file>